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2E0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宋体" w:eastAsia="黑体" w:cs="黑体"/>
          <w:b/>
          <w:bCs/>
          <w:color w:val="000000"/>
          <w:kern w:val="2"/>
          <w:sz w:val="48"/>
          <w:szCs w:val="48"/>
          <w:lang w:val="en-US" w:eastAsia="zh-CN" w:bidi="ar"/>
        </w:rPr>
      </w:pPr>
      <w:bookmarkStart w:id="0" w:name="_GoBack"/>
      <w:r>
        <w:rPr>
          <w:rFonts w:hint="eastAsia" w:ascii="黑体" w:hAnsi="宋体" w:eastAsia="黑体" w:cs="黑体"/>
          <w:b/>
          <w:bCs/>
          <w:color w:val="000000"/>
          <w:kern w:val="2"/>
          <w:sz w:val="48"/>
          <w:szCs w:val="48"/>
          <w:lang w:val="en-US" w:eastAsia="zh-CN" w:bidi="ar"/>
        </w:rPr>
        <w:t>关于海四达储能厂房及徕芬超级工厂</w:t>
      </w:r>
    </w:p>
    <w:p w14:paraId="6CCC31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黑体" w:hAnsi="宋体" w:eastAsia="黑体" w:cs="黑体"/>
          <w:b/>
          <w:bCs/>
          <w:color w:val="000000"/>
          <w:kern w:val="2"/>
          <w:sz w:val="48"/>
          <w:szCs w:val="48"/>
          <w:lang w:val="en-US" w:eastAsia="zh-CN" w:bidi="ar"/>
        </w:rPr>
        <w:t>安全检查服务采购需求书</w:t>
      </w:r>
      <w:bookmarkEnd w:id="0"/>
    </w:p>
    <w:p w14:paraId="398903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56CC7F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一、采购项目概况</w:t>
      </w:r>
    </w:p>
    <w:p w14:paraId="46EF96A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textAlignment w:val="auto"/>
        <w:rPr>
          <w:rFonts w:hint="eastAsia" w:ascii="华文楷体" w:hAnsi="华文楷体" w:eastAsia="华文楷体" w:cs="华文楷体"/>
          <w:b w:val="0"/>
          <w:bCs w:val="0"/>
          <w:color w:val="000000"/>
          <w:sz w:val="32"/>
          <w:szCs w:val="32"/>
        </w:rPr>
      </w:pPr>
      <w:r>
        <w:rPr>
          <w:rFonts w:hint="eastAsia" w:ascii="华文楷体" w:hAnsi="华文楷体" w:eastAsia="华文楷体" w:cs="华文楷体"/>
          <w:b w:val="0"/>
          <w:bCs w:val="0"/>
          <w:color w:val="000000"/>
          <w:sz w:val="32"/>
          <w:szCs w:val="32"/>
        </w:rPr>
        <w:t>（一）项目名称</w:t>
      </w:r>
    </w:p>
    <w:p w14:paraId="5C4A36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海四达储能厂房及徕芬超级工厂安全检查服务项目</w:t>
      </w:r>
    </w:p>
    <w:p w14:paraId="5357741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华文楷体" w:hAnsi="华文楷体" w:eastAsia="华文楷体" w:cs="华文楷体"/>
          <w:b w:val="0"/>
          <w:bCs w:val="0"/>
          <w:color w:val="000000"/>
          <w:sz w:val="32"/>
          <w:szCs w:val="32"/>
        </w:rPr>
      </w:pPr>
      <w:r>
        <w:rPr>
          <w:rFonts w:hint="eastAsia" w:ascii="华文楷体" w:hAnsi="华文楷体" w:eastAsia="华文楷体" w:cs="华文楷体"/>
          <w:b w:val="0"/>
          <w:bCs w:val="0"/>
          <w:color w:val="000000"/>
          <w:sz w:val="32"/>
          <w:szCs w:val="32"/>
        </w:rPr>
        <w:t>（二）采购背景</w:t>
      </w:r>
    </w:p>
    <w:p w14:paraId="4EF44E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为落实企业安全生产主体责任，规范厂区设备全生命周期运维管控，全面排查设备运行、仓储防火、环保运维、危险作业等各类安全风险，建立标准化隐患闭环管理体系，防范火灾爆炸、设备故障、环保超标等安全事故，现通过采购第三方专业安全技术机构协助我司开展月度常态化安全巡查、专项培训及管理评估服务。</w:t>
      </w:r>
    </w:p>
    <w:p w14:paraId="28AF30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华文楷体" w:hAnsi="华文楷体" w:eastAsia="华文楷体" w:cs="华文楷体"/>
          <w:b w:val="0"/>
          <w:bCs w:val="0"/>
          <w:color w:val="000000"/>
          <w:sz w:val="32"/>
          <w:szCs w:val="32"/>
        </w:rPr>
      </w:pPr>
      <w:r>
        <w:rPr>
          <w:rFonts w:hint="eastAsia" w:ascii="华文楷体" w:hAnsi="华文楷体" w:eastAsia="华文楷体" w:cs="华文楷体"/>
          <w:b w:val="0"/>
          <w:bCs w:val="0"/>
          <w:color w:val="000000"/>
          <w:sz w:val="32"/>
          <w:szCs w:val="32"/>
        </w:rPr>
        <w:t>（三）服务核心说明</w:t>
      </w:r>
    </w:p>
    <w:p w14:paraId="7B2F6B7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本次服务覆盖21处检查对象，包含两大厂区高危生产、仓储、环保设施，需配备专业安全专家按月现场巡查，同步输出标准化巡查成果，提升园区整体安全管理水平。</w:t>
      </w:r>
    </w:p>
    <w:p w14:paraId="16ACFB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华文楷体" w:hAnsi="华文楷体" w:eastAsia="华文楷体" w:cs="华文楷体"/>
          <w:b w:val="0"/>
          <w:bCs w:val="0"/>
          <w:color w:val="000000"/>
          <w:sz w:val="32"/>
          <w:szCs w:val="32"/>
        </w:rPr>
      </w:pPr>
      <w:r>
        <w:rPr>
          <w:rFonts w:hint="eastAsia" w:ascii="华文楷体" w:hAnsi="华文楷体" w:eastAsia="华文楷体" w:cs="华文楷体"/>
          <w:b w:val="0"/>
          <w:bCs w:val="0"/>
          <w:color w:val="000000"/>
          <w:sz w:val="32"/>
          <w:szCs w:val="32"/>
        </w:rPr>
        <w:t>（四）项目预算</w:t>
      </w:r>
    </w:p>
    <w:p w14:paraId="029531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本项目服务总预算含税总价：41833.3元，总价包干。包含本次服务项下所有人工、交通、问题清单编制、培训、耗材、税费、售后跟踪等全部费用，甲方无需额外支付其他任何杂费。</w:t>
      </w:r>
    </w:p>
    <w:p w14:paraId="69643E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二、采购服务范围及检查对象</w:t>
      </w:r>
    </w:p>
    <w:p w14:paraId="2ED76D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本次巡查共计21项检查对象，明细如下：</w:t>
      </w:r>
    </w:p>
    <w:p w14:paraId="43B231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富山大横琴海四达储能厂房：17套工艺及公用设备系统（空压系统、制氮系统、除湿机、污水处理装置、纯水系统、冷却塔、冷水机组、NMP回收/余热回收、组合式空调箱及风机盘管、NMP精馏装置、蒸汽系统、冷却换热/定压补水/砂滤加药装置、离心水泵、压滤机、地磅、高低压配电柜/变压器/母线槽、自控系统）、1处电池储藏仓库。</w:t>
      </w:r>
    </w:p>
    <w:p w14:paraId="583B8B2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徕芬超级工厂：1处甲类防火防爆仓库、1处油漆中转站、1套园区废气处理站。</w:t>
      </w:r>
    </w:p>
    <w:p w14:paraId="6054CC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三、服务内容</w:t>
      </w:r>
    </w:p>
    <w:p w14:paraId="061876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月度现场安全巡查服务：每月组织专业专家进驻两大厂区，开展全覆盖安全巡查，全面核查设备运行状态、高危仓储防火防爆管理、环保废气设施运维、危险作业管控、维保单位日常履职、现场安全台账、消防设施、危化品存放等各维度内容；现场拍照取证，逐项识别安全隐患，出具专业整改建议，落实隐患跟踪复查，并提供技术指导意见。</w:t>
      </w:r>
    </w:p>
    <w:p w14:paraId="0E7277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安全专项培训服务：根据厂区储能、轻工高危业态特点，围绕防火防爆、NMP介质管控、有限空间作业、设备应急处置、环保合规、隐患自查实操等内容配合甲方开展安全赋能培训。</w:t>
      </w:r>
    </w:p>
    <w:p w14:paraId="642422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四、巡查频次、人员配置及服务期限</w:t>
      </w:r>
    </w:p>
    <w:p w14:paraId="4FFFE4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服务期限：自合同生效之日至2027年6月30日，共开展12次月度现场巡查服务。</w:t>
      </w:r>
    </w:p>
    <w:p w14:paraId="580BAB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巡查频次：平均每月开展1次现场专项巡查，合计服务12次；确保每季度完成全部21项检查对象的一轮全覆盖检查。</w:t>
      </w:r>
    </w:p>
    <w:p w14:paraId="6EB7D5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专家配置要求：每次现场巡查均须按照采购人通知（包括书面、信息、微信等形式）的巡查内容及工作要求，足额委派对应行业专业安全专家（新能源储能、环保、防火防爆、机电设备相关专业），检查专家须持有相关专业高级职称，或相关专业中级注册安全工程师证书；成交单位拟委派的全部工作人员，均须事先提交采购人审核确认，未经采购人确认人员不得进场开展巡查工作。</w:t>
      </w:r>
    </w:p>
    <w:p w14:paraId="788A57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b w:val="0"/>
          <w:bCs w:val="0"/>
          <w:color w:val="000000"/>
          <w:sz w:val="32"/>
          <w:szCs w:val="32"/>
        </w:rPr>
      </w:pPr>
      <w:r>
        <w:rPr>
          <w:rFonts w:hint="eastAsia" w:ascii="方正仿宋_GB2312" w:hAnsi="方正仿宋_GB2312" w:eastAsia="方正仿宋_GB2312" w:cs="方正仿宋_GB2312"/>
          <w:b w:val="0"/>
          <w:bCs w:val="0"/>
          <w:color w:val="000000"/>
          <w:kern w:val="0"/>
          <w:sz w:val="32"/>
          <w:szCs w:val="32"/>
          <w:lang w:val="en-US" w:eastAsia="zh-CN" w:bidi="ar"/>
        </w:rPr>
        <w:t>培训安排：服务周期内按需配合甲方开展2场厂区安全培训，培训讲师须具备相关专业职称。</w:t>
      </w:r>
    </w:p>
    <w:p w14:paraId="155A03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五、交付输出成果要求</w:t>
      </w:r>
    </w:p>
    <w:p w14:paraId="7E56DB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服务商完成每次现场服务后，须按时交付以下全套书面 + 电子档成果：</w:t>
      </w:r>
    </w:p>
    <w:p w14:paraId="72D04C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单次巡查成果：每次巡查完成后3个工作日内提交正式《厂区安全巡查问题清单》，含现场隐患照片、风险描述、规范依据、整改措施。</w:t>
      </w:r>
    </w:p>
    <w:p w14:paraId="1AC750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六、报价及费用列明要求</w:t>
      </w:r>
    </w:p>
    <w:p w14:paraId="3A12F9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本项目含税包干总价：41833.3元；</w:t>
      </w:r>
    </w:p>
    <w:p w14:paraId="3863F1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报价包含专家人工、交通、检测辅助工具、问题清单编制、资料打印、培训实施、售后跟踪、税费等全部费用，甲方无需额外支付其他任何杂费。</w:t>
      </w:r>
    </w:p>
    <w:p w14:paraId="391BB3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七、付款结算方式</w:t>
      </w:r>
    </w:p>
    <w:p w14:paraId="5B1A41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首付款（30%） 乙方完成首月第一次服务，全套原始安全检查相关资料经甲方审核验收合格；且甲方已收到业主支付的主合同30% 首付款；乙方开具等额发票后15个工作日内，甲方向乙方支付总价30%；</w:t>
      </w:r>
    </w:p>
    <w:p w14:paraId="66867D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过程款（40%） 乙方完整完成前六个月全部安全技术服务、交付对应季度全套服务成果并经甲方验收合格；且甲方已收到业主支付的主合同40% 过程款；乙方开具等额发票后15个工作日内，甲方支付合同总价40% 款项；</w:t>
      </w:r>
    </w:p>
    <w:p w14:paraId="78A30E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尾款（30%） 全部安全检查服务项目整体履约完毕，乙方交付全部年度服务归档资料并经甲方验收合格，且甲方已收到业主支付的主合同30% 尾款；乙方开具等额发票后15个工作日内，甲方付清剩余30%尾款；</w:t>
      </w:r>
    </w:p>
    <w:p w14:paraId="450D4F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发票要求：乙方每笔收款前须向甲方开具对应金额合法有效的发票，甲方凭合规发票办理付款。</w:t>
      </w:r>
    </w:p>
    <w:p w14:paraId="3505A3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八、服务标准与履约要求</w:t>
      </w:r>
    </w:p>
    <w:p w14:paraId="1D3230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所有巡查专家、培训讲师须持有相关专业高级职称，或相关专业中级注册安全工程师证书；</w:t>
      </w:r>
    </w:p>
    <w:p w14:paraId="4A33FB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所有巡查判定依据严格遵循现行安全生产、消防、环保、特种设备国家及行业规范，建立标准化法规知识库并定期更新；</w:t>
      </w:r>
    </w:p>
    <w:p w14:paraId="671259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严格遵守甲方园区现场管理规定，作业期间做好安全防护，保护厂区设备、资料信息保密；</w:t>
      </w:r>
    </w:p>
    <w:p w14:paraId="470746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所有交付成果格式规范、内容详实，隐患整改建议具备可落地性，配合甲方完成隐患复查、答疑、整改技术指导。</w:t>
      </w:r>
    </w:p>
    <w:p w14:paraId="0A920A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九、验收标准</w:t>
      </w:r>
    </w:p>
    <w:p w14:paraId="0440C3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人员配置达标：每次巡查到场专家数量、专业资质符合采购需求；</w:t>
      </w:r>
    </w:p>
    <w:p w14:paraId="23AC45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现场巡查全覆盖：21项检查对象无遗漏，风险点位全面排查；</w:t>
      </w:r>
    </w:p>
    <w:p w14:paraId="3E5501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成果资料完整：巡查问题清单逻辑清晰、依据充分；</w:t>
      </w:r>
    </w:p>
    <w:p w14:paraId="513558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方正仿宋_GB2312" w:hAnsi="方正仿宋_GB2312" w:eastAsia="方正仿宋_GB2312" w:cs="方正仿宋_GB2312"/>
          <w:b w:val="0"/>
          <w:bCs w:val="0"/>
          <w:color w:val="000000"/>
          <w:kern w:val="0"/>
          <w:sz w:val="32"/>
          <w:szCs w:val="32"/>
          <w:lang w:val="en-US" w:eastAsia="zh-CN" w:bidi="ar"/>
        </w:rPr>
      </w:pPr>
      <w:r>
        <w:rPr>
          <w:rFonts w:hint="eastAsia" w:ascii="方正仿宋_GB2312" w:hAnsi="方正仿宋_GB2312" w:eastAsia="方正仿宋_GB2312" w:cs="方正仿宋_GB2312"/>
          <w:b w:val="0"/>
          <w:bCs w:val="0"/>
          <w:color w:val="000000"/>
          <w:kern w:val="0"/>
          <w:sz w:val="32"/>
          <w:szCs w:val="32"/>
          <w:lang w:val="en-US" w:eastAsia="zh-CN" w:bidi="ar"/>
        </w:rPr>
        <w:t>隐患闭环跟踪到位：对巡查发现隐患持续跟进复查，形成完整闭环记录，满足甲方安全管理使用要求。</w:t>
      </w:r>
    </w:p>
    <w:p w14:paraId="32AF9889">
      <w:pPr>
        <w:rPr>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2CD5D6-DFB6-45F4-B441-959AA21950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31E1E67-D28A-45C4-9D19-48CF6E85F7D6}"/>
  </w:font>
  <w:font w:name="华文楷体">
    <w:panose1 w:val="02010600040101010101"/>
    <w:charset w:val="86"/>
    <w:family w:val="auto"/>
    <w:pitch w:val="default"/>
    <w:sig w:usb0="A00002BF" w:usb1="78CF7CFB" w:usb2="00000016" w:usb3="00000000" w:csb0="6006009F" w:csb1="DFD70000"/>
    <w:embedRegular r:id="rId3" w:fontKey="{A91ECAE2-7987-4DDE-8DC4-F5779D7C23A7}"/>
  </w:font>
  <w:font w:name="方正仿宋_GB2312">
    <w:panose1 w:val="02000000000000000000"/>
    <w:charset w:val="86"/>
    <w:family w:val="auto"/>
    <w:pitch w:val="default"/>
    <w:sig w:usb0="A00002BF" w:usb1="184F6CFA" w:usb2="00000012" w:usb3="00000000" w:csb0="00040001" w:csb1="00000000"/>
    <w:embedRegular r:id="rId4" w:fontKey="{E5BFE1A9-0863-4996-B58F-FADB5999392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4906E9"/>
    <w:rsid w:val="0E0F6693"/>
    <w:rsid w:val="10651E49"/>
    <w:rsid w:val="166319AB"/>
    <w:rsid w:val="194B7296"/>
    <w:rsid w:val="1B1D0E8B"/>
    <w:rsid w:val="26241A81"/>
    <w:rsid w:val="2D4906E9"/>
    <w:rsid w:val="362136E4"/>
    <w:rsid w:val="3D480327"/>
    <w:rsid w:val="44780FD8"/>
    <w:rsid w:val="48F6554E"/>
    <w:rsid w:val="4D05310B"/>
    <w:rsid w:val="4FDB5C52"/>
    <w:rsid w:val="53B406C1"/>
    <w:rsid w:val="54E87291"/>
    <w:rsid w:val="5DBB71D6"/>
    <w:rsid w:val="61166082"/>
    <w:rsid w:val="65B06896"/>
    <w:rsid w:val="684E1794"/>
    <w:rsid w:val="71A16D58"/>
    <w:rsid w:val="737535BF"/>
    <w:rsid w:val="74B71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1975</Words>
  <Characters>2025</Characters>
  <Lines>0</Lines>
  <Paragraphs>0</Paragraphs>
  <TotalTime>2</TotalTime>
  <ScaleCrop>false</ScaleCrop>
  <LinksUpToDate>false</LinksUpToDate>
  <CharactersWithSpaces>2034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2026-07-07T01:35:00Z</dcterms:created>
  <dc:creator>黄家琪</dc:creator>
  <cp:lastModifiedBy>黄家琪</cp:lastModifiedBy>
  <dcterms:modified xsi:type="dcterms:W3CDTF">2026-08-19T06:19:35Z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9168F510594A47359FF57D30C946B0C5_13</vt:lpwstr>
  </property>
  <property fmtid="{D5CDD505-2E9C-101B-9397-08002B2CF9AE}" pid="4" name="KSOTemplateDocerSaveRecord">
    <vt:lpwstr>eyJoZGlkIjoiMGMzZDc0NjA3Njg3ODkyNjAyYmJkZTVkMzdkNzQ1MjIiLCJ1c2VySWQiOiI0MDg2NDE1MzQifQ==</vt:lpwstr>
  </property>
</Properties>
</file>