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65457">
      <w:pPr>
        <w:pStyle w:val="5"/>
        <w:wordWrap w:val="0"/>
        <w:spacing w:before="156" w:beforeLines="50" w:after="156" w:afterLines="50" w:line="480" w:lineRule="exact"/>
        <w:jc w:val="both"/>
        <w:rPr>
          <w:rFonts w:hint="eastAsia" w:ascii="仿宋" w:hAnsi="仿宋" w:eastAsia="仿宋" w:cs="仿宋"/>
          <w:color w:val="000000"/>
          <w:sz w:val="44"/>
          <w:szCs w:val="44"/>
          <w:highlight w:val="none"/>
          <w:lang w:val="en-US" w:eastAsia="zh-CN"/>
        </w:rPr>
      </w:pPr>
      <w:r>
        <w:rPr>
          <w:rFonts w:hint="eastAsia" w:ascii="仿宋" w:hAnsi="仿宋" w:eastAsia="仿宋" w:cs="仿宋"/>
          <w:color w:val="000000"/>
          <w:sz w:val="28"/>
          <w:szCs w:val="28"/>
          <w:highlight w:val="none"/>
          <w:lang w:val="en-US" w:eastAsia="zh-CN"/>
        </w:rPr>
        <w:t>合同编号：</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FF0000"/>
          <w:sz w:val="28"/>
          <w:szCs w:val="28"/>
          <w:highlight w:val="none"/>
          <w:u w:val="single"/>
          <w:lang w:val="en-US" w:eastAsia="zh-CN"/>
        </w:rPr>
        <w:t>QT2507002</w:t>
      </w:r>
      <w:r>
        <w:rPr>
          <w:rFonts w:hint="eastAsia" w:ascii="仿宋" w:hAnsi="仿宋" w:eastAsia="仿宋" w:cs="仿宋"/>
          <w:color w:val="000000"/>
          <w:sz w:val="28"/>
          <w:szCs w:val="28"/>
          <w:highlight w:val="none"/>
          <w:u w:val="single"/>
          <w:lang w:val="en-US"/>
        </w:rPr>
        <w:t xml:space="preserve">  </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lang w:val="en-US"/>
        </w:rPr>
        <w:t>号</w:t>
      </w:r>
    </w:p>
    <w:p w14:paraId="5F1B72F4">
      <w:pPr>
        <w:adjustRightInd w:val="0"/>
        <w:snapToGrid w:val="0"/>
        <w:spacing w:line="560" w:lineRule="exact"/>
        <w:jc w:val="center"/>
        <w:rPr>
          <w:rFonts w:ascii="宋体" w:hAnsi="宋体" w:eastAsia="宋体"/>
          <w:color w:val="000000"/>
          <w:sz w:val="28"/>
          <w:szCs w:val="28"/>
          <w:highlight w:val="none"/>
          <w:lang w:val="en-US" w:eastAsia="zh-CN"/>
        </w:rPr>
      </w:pPr>
    </w:p>
    <w:p w14:paraId="4E93DBC7">
      <w:pPr>
        <w:adjustRightInd w:val="0"/>
        <w:snapToGrid w:val="0"/>
        <w:spacing w:line="560" w:lineRule="exact"/>
        <w:jc w:val="center"/>
        <w:rPr>
          <w:rFonts w:ascii="宋体" w:hAnsi="宋体" w:eastAsia="宋体"/>
          <w:color w:val="000000"/>
          <w:sz w:val="28"/>
          <w:szCs w:val="28"/>
          <w:highlight w:val="none"/>
          <w:lang w:val="en-US" w:eastAsia="zh-CN"/>
        </w:rPr>
      </w:pPr>
    </w:p>
    <w:p w14:paraId="3AF436C7">
      <w:pPr>
        <w:adjustRightInd w:val="0"/>
        <w:snapToGrid w:val="0"/>
        <w:spacing w:line="560" w:lineRule="exact"/>
        <w:jc w:val="center"/>
        <w:rPr>
          <w:rFonts w:ascii="宋体" w:hAnsi="宋体" w:eastAsia="宋体"/>
          <w:color w:val="000000"/>
          <w:sz w:val="28"/>
          <w:szCs w:val="28"/>
          <w:highlight w:val="none"/>
          <w:lang w:val="en-US" w:eastAsia="zh-CN"/>
        </w:rPr>
      </w:pPr>
      <w:bookmarkStart w:id="0" w:name="_Hlk110503253"/>
    </w:p>
    <w:p w14:paraId="467AB8DA">
      <w:pPr>
        <w:adjustRightInd w:val="0"/>
        <w:snapToGrid w:val="0"/>
        <w:spacing w:line="560" w:lineRule="exact"/>
        <w:jc w:val="center"/>
        <w:rPr>
          <w:rFonts w:ascii="宋体" w:hAnsi="宋体" w:eastAsia="宋体"/>
          <w:color w:val="000000"/>
          <w:sz w:val="28"/>
          <w:szCs w:val="28"/>
          <w:highlight w:val="none"/>
          <w:lang w:val="en-US" w:eastAsia="zh-CN"/>
        </w:rPr>
      </w:pPr>
    </w:p>
    <w:p w14:paraId="458C832D">
      <w:pPr>
        <w:adjustRightInd w:val="0"/>
        <w:snapToGrid w:val="0"/>
        <w:spacing w:line="560" w:lineRule="exact"/>
        <w:jc w:val="center"/>
        <w:rPr>
          <w:rFonts w:ascii="宋体" w:hAnsi="宋体" w:eastAsia="宋体"/>
          <w:color w:val="000000"/>
          <w:sz w:val="28"/>
          <w:szCs w:val="28"/>
          <w:highlight w:val="none"/>
          <w:lang w:val="en-US" w:eastAsia="zh-CN"/>
        </w:rPr>
      </w:pPr>
    </w:p>
    <w:p w14:paraId="2EB4E080">
      <w:pPr>
        <w:pStyle w:val="8"/>
        <w:jc w:val="both"/>
        <w:rPr>
          <w:color w:val="000000"/>
          <w:highlight w:val="none"/>
          <w:lang w:val="en-US" w:eastAsia="zh-CN"/>
        </w:rPr>
      </w:pPr>
    </w:p>
    <w:p w14:paraId="666B1D6A">
      <w:pPr>
        <w:adjustRightInd w:val="0"/>
        <w:snapToGrid w:val="0"/>
        <w:spacing w:line="560" w:lineRule="exact"/>
        <w:jc w:val="center"/>
        <w:rPr>
          <w:rFonts w:ascii="宋体" w:hAnsi="宋体" w:eastAsia="宋体"/>
          <w:color w:val="000000"/>
          <w:sz w:val="28"/>
          <w:szCs w:val="28"/>
          <w:highlight w:val="none"/>
          <w:lang w:val="en-US" w:eastAsia="zh-CN"/>
        </w:rPr>
      </w:pPr>
      <w:r>
        <w:rPr>
          <w:rFonts w:hint="eastAsia" w:ascii="宋体" w:hAnsi="宋体" w:eastAsia="宋体" w:cs="Times New Roman"/>
          <w:b/>
          <w:bCs/>
          <w:color w:val="000000"/>
          <w:sz w:val="48"/>
          <w:szCs w:val="48"/>
          <w:highlight w:val="none"/>
          <w:lang w:val="en-US" w:eastAsia="zh-CN"/>
        </w:rPr>
        <w:t>民事委托代理合同</w:t>
      </w:r>
      <w:bookmarkEnd w:id="0"/>
    </w:p>
    <w:p w14:paraId="1A0570E6">
      <w:pPr>
        <w:adjustRightInd w:val="0"/>
        <w:snapToGrid w:val="0"/>
        <w:spacing w:line="560" w:lineRule="exact"/>
        <w:jc w:val="center"/>
        <w:rPr>
          <w:rFonts w:ascii="宋体" w:hAnsi="宋体" w:eastAsia="宋体"/>
          <w:color w:val="000000"/>
          <w:sz w:val="28"/>
          <w:szCs w:val="28"/>
          <w:highlight w:val="none"/>
          <w:lang w:val="en-US" w:eastAsia="zh-CN"/>
        </w:rPr>
      </w:pPr>
    </w:p>
    <w:p w14:paraId="2270C4AD">
      <w:pPr>
        <w:adjustRightInd w:val="0"/>
        <w:snapToGrid w:val="0"/>
        <w:spacing w:line="560" w:lineRule="exact"/>
        <w:jc w:val="center"/>
        <w:rPr>
          <w:rFonts w:ascii="宋体" w:hAnsi="宋体" w:eastAsia="宋体"/>
          <w:color w:val="000000"/>
          <w:sz w:val="28"/>
          <w:szCs w:val="28"/>
          <w:highlight w:val="none"/>
          <w:lang w:val="en-US" w:eastAsia="zh-CN"/>
        </w:rPr>
      </w:pPr>
    </w:p>
    <w:p w14:paraId="0434C40C">
      <w:pPr>
        <w:pStyle w:val="8"/>
        <w:jc w:val="both"/>
        <w:rPr>
          <w:color w:val="000000"/>
          <w:highlight w:val="none"/>
          <w:lang w:val="en-US" w:eastAsia="zh-CN"/>
        </w:rPr>
      </w:pPr>
    </w:p>
    <w:p w14:paraId="3A667244">
      <w:pPr>
        <w:adjustRightInd w:val="0"/>
        <w:snapToGrid w:val="0"/>
        <w:spacing w:line="560" w:lineRule="exact"/>
        <w:jc w:val="center"/>
        <w:rPr>
          <w:rFonts w:ascii="宋体" w:hAnsi="宋体" w:eastAsia="宋体"/>
          <w:color w:val="000000"/>
          <w:sz w:val="28"/>
          <w:szCs w:val="28"/>
          <w:highlight w:val="none"/>
          <w:lang w:val="en-US" w:eastAsia="zh-CN"/>
        </w:rPr>
      </w:pPr>
    </w:p>
    <w:p w14:paraId="5EC18475">
      <w:pPr>
        <w:adjustRightInd w:val="0"/>
        <w:snapToGrid w:val="0"/>
        <w:spacing w:line="560" w:lineRule="exact"/>
        <w:jc w:val="center"/>
        <w:rPr>
          <w:rFonts w:ascii="宋体" w:hAnsi="宋体" w:eastAsia="宋体"/>
          <w:color w:val="000000"/>
          <w:sz w:val="28"/>
          <w:szCs w:val="28"/>
          <w:highlight w:val="none"/>
          <w:lang w:val="en-US" w:eastAsia="zh-CN"/>
        </w:rPr>
      </w:pPr>
    </w:p>
    <w:p w14:paraId="56C6261B">
      <w:pPr>
        <w:adjustRightInd w:val="0"/>
        <w:snapToGrid w:val="0"/>
        <w:spacing w:line="560" w:lineRule="exact"/>
        <w:jc w:val="center"/>
        <w:rPr>
          <w:rFonts w:ascii="宋体" w:hAnsi="宋体" w:eastAsia="宋体"/>
          <w:color w:val="000000"/>
          <w:sz w:val="28"/>
          <w:szCs w:val="28"/>
          <w:highlight w:val="none"/>
          <w:lang w:val="en-US" w:eastAsia="zh-CN"/>
        </w:rPr>
      </w:pPr>
      <w:r>
        <w:rPr>
          <w:rFonts w:ascii="宋体" w:hAnsi="宋体" w:eastAsia="宋体"/>
          <w:color w:val="000000"/>
          <w:sz w:val="28"/>
          <w:szCs w:val="28"/>
          <w:highlight w:val="none"/>
          <w:lang w:val="en-US" w:eastAsia="zh-CN"/>
        </w:rPr>
        <mc:AlternateContent>
          <mc:Choice Requires="wps">
            <w:drawing>
              <wp:anchor distT="0" distB="0" distL="114300" distR="114300" simplePos="0" relativeHeight="251660288" behindDoc="0" locked="0" layoutInCell="1" allowOverlap="1">
                <wp:simplePos x="0" y="0"/>
                <wp:positionH relativeFrom="column">
                  <wp:posOffset>2593975</wp:posOffset>
                </wp:positionH>
                <wp:positionV relativeFrom="paragraph">
                  <wp:posOffset>226060</wp:posOffset>
                </wp:positionV>
                <wp:extent cx="2873375" cy="1765935"/>
                <wp:effectExtent l="6350" t="6350" r="15875" b="18415"/>
                <wp:wrapNone/>
                <wp:docPr id="2" name="矩形 2"/>
                <wp:cNvGraphicFramePr/>
                <a:graphic xmlns:a="http://schemas.openxmlformats.org/drawingml/2006/main">
                  <a:graphicData uri="http://schemas.microsoft.com/office/word/2010/wordprocessingShape">
                    <wps:wsp>
                      <wps:cNvSpPr/>
                      <wps:spPr>
                        <a:xfrm>
                          <a:off x="0" y="0"/>
                          <a:ext cx="2873375" cy="1765935"/>
                        </a:xfrm>
                        <a:prstGeom prst="rect">
                          <a:avLst/>
                        </a:prstGeom>
                        <a:noFill/>
                        <a:ln w="12700" cap="flat" cmpd="sng">
                          <a:solidFill>
                            <a:srgbClr val="264264"/>
                          </a:solidFill>
                          <a:prstDash val="sysDash"/>
                          <a:round/>
                          <a:headEnd type="none" w="med" len="med"/>
                          <a:tailEnd type="none" w="med" len="med"/>
                        </a:ln>
                      </wps:spPr>
                      <wps:txbx>
                        <w:txbxContent>
                          <w:p w14:paraId="02E5862D">
                            <w:pPr>
                              <w:jc w:val="center"/>
                              <w:rPr>
                                <w:rFonts w:ascii="仿宋" w:hAnsi="仿宋" w:eastAsia="仿宋" w:cs="仿宋"/>
                                <w:b/>
                                <w:bCs/>
                                <w:sz w:val="28"/>
                                <w:szCs w:val="28"/>
                                <w:lang w:val="en-US" w:eastAsia="zh-CN"/>
                              </w:rPr>
                            </w:pPr>
                            <w:permStart w:id="0" w:edGrp="everyone"/>
                            <w:r>
                              <w:rPr>
                                <w:rFonts w:hint="eastAsia" w:ascii="仿宋" w:hAnsi="仿宋" w:eastAsia="仿宋" w:cs="仿宋"/>
                                <w:b/>
                                <w:bCs/>
                                <w:sz w:val="28"/>
                                <w:szCs w:val="28"/>
                                <w:lang w:val="en-US" w:eastAsia="zh-CN"/>
                              </w:rPr>
                              <w:t>乙方全称：</w:t>
                            </w:r>
                          </w:p>
                          <w:p w14:paraId="3822876C">
                            <w:pPr>
                              <w:ind w:left="210" w:leftChars="100" w:firstLine="960" w:firstLineChars="400"/>
                              <w:jc w:val="center"/>
                              <w:rPr>
                                <w:rFonts w:hint="eastAsia" w:ascii="黑体" w:hAnsi="黑体" w:eastAsia="黑体" w:cs="黑体"/>
                                <w:sz w:val="24"/>
                                <w:szCs w:val="24"/>
                              </w:rPr>
                            </w:pPr>
                          </w:p>
                          <w:permEnd w:id="0"/>
                          <w:p w14:paraId="6442D911">
                            <w:pPr>
                              <w:ind w:left="0" w:leftChars="0" w:firstLine="560" w:firstLineChars="200"/>
                              <w:jc w:val="left"/>
                              <w:rPr>
                                <w:rFonts w:hint="eastAsia" w:ascii="微软雅黑" w:hAnsi="Times New Roman" w:eastAsia="仿宋" w:cs="微软雅黑"/>
                                <w:b w:val="0"/>
                                <w:bCs w:val="0"/>
                                <w:sz w:val="28"/>
                                <w:szCs w:val="28"/>
                                <w:highlight w:val="none"/>
                                <w:u w:val="none"/>
                                <w:lang w:val="en-US" w:eastAsia="zh-CN"/>
                              </w:rPr>
                            </w:pPr>
                          </w:p>
                        </w:txbxContent>
                      </wps:txbx>
                      <wps:bodyPr wrap="square" anchor="ctr" anchorCtr="0" upright="1"/>
                    </wps:wsp>
                  </a:graphicData>
                </a:graphic>
              </wp:anchor>
            </w:drawing>
          </mc:Choice>
          <mc:Fallback>
            <w:pict>
              <v:rect id="_x0000_s1026" o:spid="_x0000_s1026" o:spt="1" style="position:absolute;left:0pt;margin-left:204.25pt;margin-top:17.8pt;height:139.05pt;width:226.25pt;z-index:251660288;v-text-anchor:middle;mso-width-relative:page;mso-height-relative:page;" filled="f" stroked="t" coordsize="21600,21600" o:gfxdata="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p9Y2LZAAAACgEA&#10;AA8AAAAAAAAAAQAgAAAAIgAAAGRycy9kb3ducmV2LnhtbFBLAQIUABQAAAAIAIdO4kBO2NE7GQIA&#10;AC0EAAAOAAAAAAAAAAEAIAAAACgBAABkcnMvZTJvRG9jLnhtbFBLBQYAAAAABgAGAFkBAACzBQAA&#10;AAA=&#10;">
                <v:fill on="f" focussize="0,0"/>
                <v:stroke weight="1pt" color="#264264" joinstyle="round" dashstyle="3 1"/>
                <v:imagedata o:title=""/>
                <o:lock v:ext="edit" aspectratio="f"/>
                <v:textbox>
                  <w:txbxContent>
                    <w:p w14:paraId="02E5862D">
                      <w:pPr>
                        <w:jc w:val="center"/>
                        <w:rPr>
                          <w:rFonts w:ascii="仿宋" w:hAnsi="仿宋" w:eastAsia="仿宋" w:cs="仿宋"/>
                          <w:b/>
                          <w:bCs/>
                          <w:sz w:val="28"/>
                          <w:szCs w:val="28"/>
                          <w:lang w:val="en-US" w:eastAsia="zh-CN"/>
                        </w:rPr>
                      </w:pPr>
                      <w:permStart w:id="0" w:edGrp="everyone"/>
                      <w:r>
                        <w:rPr>
                          <w:rFonts w:hint="eastAsia" w:ascii="仿宋" w:hAnsi="仿宋" w:eastAsia="仿宋" w:cs="仿宋"/>
                          <w:b/>
                          <w:bCs/>
                          <w:sz w:val="28"/>
                          <w:szCs w:val="28"/>
                          <w:lang w:val="en-US" w:eastAsia="zh-CN"/>
                        </w:rPr>
                        <w:t>乙方全称：</w:t>
                      </w:r>
                    </w:p>
                    <w:p w14:paraId="3822876C">
                      <w:pPr>
                        <w:ind w:left="210" w:leftChars="100" w:firstLine="960" w:firstLineChars="400"/>
                        <w:jc w:val="center"/>
                        <w:rPr>
                          <w:rFonts w:hint="eastAsia" w:ascii="黑体" w:hAnsi="黑体" w:eastAsia="黑体" w:cs="黑体"/>
                          <w:sz w:val="24"/>
                          <w:szCs w:val="24"/>
                        </w:rPr>
                      </w:pPr>
                    </w:p>
                    <w:permEnd w:id="0"/>
                    <w:p w14:paraId="6442D911">
                      <w:pPr>
                        <w:ind w:left="0" w:leftChars="0" w:firstLine="560" w:firstLineChars="200"/>
                        <w:jc w:val="left"/>
                        <w:rPr>
                          <w:rFonts w:hint="eastAsia" w:ascii="微软雅黑" w:hAnsi="Times New Roman" w:eastAsia="仿宋" w:cs="微软雅黑"/>
                          <w:b w:val="0"/>
                          <w:bCs w:val="0"/>
                          <w:sz w:val="28"/>
                          <w:szCs w:val="28"/>
                          <w:highlight w:val="none"/>
                          <w:u w:val="none"/>
                          <w:lang w:val="en-US" w:eastAsia="zh-CN"/>
                        </w:rPr>
                      </w:pPr>
                    </w:p>
                  </w:txbxContent>
                </v:textbox>
              </v:rect>
            </w:pict>
          </mc:Fallback>
        </mc:AlternateContent>
      </w:r>
      <w:r>
        <w:rPr>
          <w:rFonts w:ascii="宋体" w:hAnsi="宋体" w:eastAsia="宋体"/>
          <w:color w:val="000000"/>
          <w:sz w:val="28"/>
          <w:szCs w:val="28"/>
          <w:highlight w:val="none"/>
          <w:lang w:val="en-US" w:eastAsia="zh-CN"/>
        </w:rPr>
        <mc:AlternateContent>
          <mc:Choice Requires="wps">
            <w:drawing>
              <wp:anchor distT="0" distB="0" distL="114300" distR="114300" simplePos="0" relativeHeight="251659264" behindDoc="0" locked="0" layoutInCell="1" allowOverlap="1">
                <wp:simplePos x="0" y="0"/>
                <wp:positionH relativeFrom="column">
                  <wp:posOffset>-653415</wp:posOffset>
                </wp:positionH>
                <wp:positionV relativeFrom="paragraph">
                  <wp:posOffset>238760</wp:posOffset>
                </wp:positionV>
                <wp:extent cx="2926080" cy="1767205"/>
                <wp:effectExtent l="6350" t="6350" r="20320" b="17145"/>
                <wp:wrapNone/>
                <wp:docPr id="1" name="矩形 1"/>
                <wp:cNvGraphicFramePr/>
                <a:graphic xmlns:a="http://schemas.openxmlformats.org/drawingml/2006/main">
                  <a:graphicData uri="http://schemas.microsoft.com/office/word/2010/wordprocessingShape">
                    <wps:wsp>
                      <wps:cNvSpPr/>
                      <wps:spPr>
                        <a:xfrm>
                          <a:off x="0" y="0"/>
                          <a:ext cx="2926080" cy="1767205"/>
                        </a:xfrm>
                        <a:prstGeom prst="rect">
                          <a:avLst/>
                        </a:prstGeom>
                        <a:noFill/>
                        <a:ln w="12700" cap="flat" cmpd="sng">
                          <a:solidFill>
                            <a:srgbClr val="264264"/>
                          </a:solidFill>
                          <a:prstDash val="sysDash"/>
                          <a:round/>
                          <a:headEnd type="none" w="med" len="med"/>
                          <a:tailEnd type="none" w="med" len="med"/>
                        </a:ln>
                      </wps:spPr>
                      <wps:txbx>
                        <w:txbxContent>
                          <w:p w14:paraId="0D8A5BC9">
                            <w:pPr>
                              <w:ind w:firstLine="562"/>
                              <w:jc w:val="center"/>
                              <w:rPr>
                                <w:rFonts w:ascii="仿宋" w:hAnsi="仿宋" w:eastAsia="仿宋" w:cs="仿宋"/>
                                <w:b/>
                                <w:bCs/>
                                <w:sz w:val="28"/>
                                <w:szCs w:val="28"/>
                                <w:lang w:val="en-US" w:eastAsia="zh-CN"/>
                              </w:rPr>
                            </w:pPr>
                            <w:permStart w:id="1" w:edGrp="everyone"/>
                            <w:r>
                              <w:rPr>
                                <w:rFonts w:hint="eastAsia" w:ascii="仿宋" w:hAnsi="仿宋" w:eastAsia="仿宋" w:cs="仿宋"/>
                                <w:b/>
                                <w:bCs/>
                                <w:sz w:val="28"/>
                                <w:szCs w:val="28"/>
                                <w:lang w:val="en-US" w:eastAsia="zh-CN"/>
                              </w:rPr>
                              <w:t>甲方全称：</w:t>
                            </w:r>
                          </w:p>
                          <w:p w14:paraId="433F718A">
                            <w:pPr>
                              <w:ind w:firstLine="562"/>
                              <w:jc w:val="center"/>
                              <w:rPr>
                                <w:rFonts w:ascii="仿宋" w:hAnsi="仿宋" w:eastAsia="仿宋" w:cs="仿宋"/>
                                <w:b/>
                                <w:bCs/>
                                <w:sz w:val="28"/>
                                <w:szCs w:val="28"/>
                                <w:lang w:val="en-US" w:eastAsia="zh-CN"/>
                              </w:rPr>
                            </w:pPr>
                          </w:p>
                          <w:p w14:paraId="75D7F663">
                            <w:pPr>
                              <w:pStyle w:val="8"/>
                              <w:ind w:firstLine="560" w:firstLineChars="200"/>
                              <w:rPr>
                                <w:rFonts w:hint="eastAsia" w:ascii="仿宋" w:hAnsi="仿宋" w:eastAsia="仿宋" w:cs="仿宋"/>
                                <w:b/>
                                <w:color w:val="000000"/>
                                <w:sz w:val="28"/>
                                <w:szCs w:val="28"/>
                                <w:lang w:val="en-US" w:eastAsia="zh-CN"/>
                              </w:rPr>
                            </w:pPr>
                            <w:r>
                              <w:rPr>
                                <w:rFonts w:hint="eastAsia" w:ascii="微软雅黑" w:hAnsi="Times New Roman" w:eastAsia="仿宋" w:cs="微软雅黑"/>
                                <w:sz w:val="28"/>
                                <w:szCs w:val="28"/>
                                <w:highlight w:val="none"/>
                                <w:lang w:val="en-US"/>
                              </w:rPr>
                              <w:t xml:space="preserve"> 广东长正建设有限公司</w:t>
                            </w:r>
                            <w:permEnd w:id="1"/>
                          </w:p>
                        </w:txbxContent>
                      </wps:txbx>
                      <wps:bodyPr vert="horz" wrap="square" anchor="ctr" anchorCtr="0" upright="1"/>
                    </wps:wsp>
                  </a:graphicData>
                </a:graphic>
              </wp:anchor>
            </w:drawing>
          </mc:Choice>
          <mc:Fallback>
            <w:pict>
              <v:rect id="_x0000_s1026" o:spid="_x0000_s1026" o:spt="1" style="position:absolute;left:0pt;margin-left:-51.45pt;margin-top:18.8pt;height:139.15pt;width:230.4pt;z-index:251659264;v-text-anchor:middle;mso-width-relative:page;mso-height-relative:page;" filled="f" stroked="t" coordsize="21600,21600" o:gfxdata="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DwAVtoA&#10;AAALAQAADwAAAAAAAAABACAAAAAiAAAAZHJzL2Rvd25yZXYueG1sUEsBAhQAFAAAAAgAh07iQGzj&#10;wNkdAgAAOQQAAA4AAAAAAAAAAQAgAAAAKQEAAGRycy9lMm9Eb2MueG1sUEsFBgAAAAAGAAYAWQEA&#10;ALgFAAAAAA==&#10;">
                <v:fill on="f" focussize="0,0"/>
                <v:stroke weight="1pt" color="#264264" joinstyle="round" dashstyle="3 1"/>
                <v:imagedata o:title=""/>
                <o:lock v:ext="edit" aspectratio="f"/>
                <v:textbox>
                  <w:txbxContent>
                    <w:p w14:paraId="0D8A5BC9">
                      <w:pPr>
                        <w:ind w:firstLine="562"/>
                        <w:jc w:val="center"/>
                        <w:rPr>
                          <w:rFonts w:ascii="仿宋" w:hAnsi="仿宋" w:eastAsia="仿宋" w:cs="仿宋"/>
                          <w:b/>
                          <w:bCs/>
                          <w:sz w:val="28"/>
                          <w:szCs w:val="28"/>
                          <w:lang w:val="en-US" w:eastAsia="zh-CN"/>
                        </w:rPr>
                      </w:pPr>
                      <w:permStart w:id="1" w:edGrp="everyone"/>
                      <w:r>
                        <w:rPr>
                          <w:rFonts w:hint="eastAsia" w:ascii="仿宋" w:hAnsi="仿宋" w:eastAsia="仿宋" w:cs="仿宋"/>
                          <w:b/>
                          <w:bCs/>
                          <w:sz w:val="28"/>
                          <w:szCs w:val="28"/>
                          <w:lang w:val="en-US" w:eastAsia="zh-CN"/>
                        </w:rPr>
                        <w:t>甲方全称：</w:t>
                      </w:r>
                    </w:p>
                    <w:p w14:paraId="433F718A">
                      <w:pPr>
                        <w:ind w:firstLine="562"/>
                        <w:jc w:val="center"/>
                        <w:rPr>
                          <w:rFonts w:ascii="仿宋" w:hAnsi="仿宋" w:eastAsia="仿宋" w:cs="仿宋"/>
                          <w:b/>
                          <w:bCs/>
                          <w:sz w:val="28"/>
                          <w:szCs w:val="28"/>
                          <w:lang w:val="en-US" w:eastAsia="zh-CN"/>
                        </w:rPr>
                      </w:pPr>
                    </w:p>
                    <w:p w14:paraId="75D7F663">
                      <w:pPr>
                        <w:pStyle w:val="8"/>
                        <w:ind w:firstLine="560" w:firstLineChars="200"/>
                        <w:rPr>
                          <w:rFonts w:hint="eastAsia" w:ascii="仿宋" w:hAnsi="仿宋" w:eastAsia="仿宋" w:cs="仿宋"/>
                          <w:b/>
                          <w:color w:val="000000"/>
                          <w:sz w:val="28"/>
                          <w:szCs w:val="28"/>
                          <w:lang w:val="en-US" w:eastAsia="zh-CN"/>
                        </w:rPr>
                      </w:pPr>
                      <w:r>
                        <w:rPr>
                          <w:rFonts w:hint="eastAsia" w:ascii="微软雅黑" w:hAnsi="Times New Roman" w:eastAsia="仿宋" w:cs="微软雅黑"/>
                          <w:sz w:val="28"/>
                          <w:szCs w:val="28"/>
                          <w:highlight w:val="none"/>
                          <w:lang w:val="en-US"/>
                        </w:rPr>
                        <w:t xml:space="preserve"> 广东长正建设有限公司</w:t>
                      </w:r>
                      <w:permEnd w:id="1"/>
                    </w:p>
                  </w:txbxContent>
                </v:textbox>
              </v:rect>
            </w:pict>
          </mc:Fallback>
        </mc:AlternateContent>
      </w:r>
    </w:p>
    <w:p w14:paraId="4AA65AD5">
      <w:pPr>
        <w:adjustRightInd w:val="0"/>
        <w:snapToGrid w:val="0"/>
        <w:spacing w:line="560" w:lineRule="exact"/>
        <w:jc w:val="center"/>
        <w:rPr>
          <w:rFonts w:ascii="宋体" w:hAnsi="宋体" w:eastAsia="宋体"/>
          <w:color w:val="000000"/>
          <w:sz w:val="28"/>
          <w:szCs w:val="28"/>
          <w:highlight w:val="none"/>
          <w:lang w:val="en-US" w:eastAsia="zh-CN"/>
        </w:rPr>
      </w:pPr>
    </w:p>
    <w:p w14:paraId="56CD7065">
      <w:pPr>
        <w:adjustRightInd w:val="0"/>
        <w:snapToGrid w:val="0"/>
        <w:spacing w:line="560" w:lineRule="exact"/>
        <w:jc w:val="center"/>
        <w:rPr>
          <w:rFonts w:ascii="宋体" w:hAnsi="宋体" w:eastAsia="宋体"/>
          <w:color w:val="000000"/>
          <w:sz w:val="28"/>
          <w:szCs w:val="28"/>
          <w:highlight w:val="none"/>
          <w:lang w:val="en-US" w:eastAsia="zh-CN"/>
        </w:rPr>
      </w:pPr>
    </w:p>
    <w:p w14:paraId="23B408FB">
      <w:pPr>
        <w:adjustRightInd w:val="0"/>
        <w:snapToGrid w:val="0"/>
        <w:spacing w:line="560" w:lineRule="exact"/>
        <w:jc w:val="center"/>
        <w:rPr>
          <w:rFonts w:ascii="宋体" w:hAnsi="宋体" w:eastAsia="宋体"/>
          <w:color w:val="000000"/>
          <w:sz w:val="28"/>
          <w:szCs w:val="28"/>
          <w:highlight w:val="none"/>
          <w:lang w:val="en-US" w:eastAsia="zh-CN"/>
        </w:rPr>
      </w:pPr>
    </w:p>
    <w:p w14:paraId="07914E6F">
      <w:pPr>
        <w:adjustRightInd w:val="0"/>
        <w:snapToGrid w:val="0"/>
        <w:spacing w:line="560" w:lineRule="exact"/>
        <w:jc w:val="center"/>
        <w:rPr>
          <w:rFonts w:ascii="宋体" w:hAnsi="宋体" w:eastAsia="宋体"/>
          <w:color w:val="000000"/>
          <w:sz w:val="28"/>
          <w:szCs w:val="28"/>
          <w:highlight w:val="none"/>
          <w:lang w:val="en-US" w:eastAsia="zh-CN"/>
        </w:rPr>
      </w:pPr>
    </w:p>
    <w:p w14:paraId="6A4C976E">
      <w:pPr>
        <w:pStyle w:val="3"/>
        <w:jc w:val="both"/>
        <w:rPr>
          <w:color w:val="000000"/>
          <w:highlight w:val="none"/>
          <w:lang w:val="en-US" w:eastAsia="zh-CN"/>
        </w:rPr>
      </w:pPr>
    </w:p>
    <w:p w14:paraId="7514E0B9">
      <w:pPr>
        <w:adjustRightInd w:val="0"/>
        <w:snapToGrid w:val="0"/>
        <w:spacing w:line="560" w:lineRule="exact"/>
        <w:jc w:val="center"/>
        <w:rPr>
          <w:rFonts w:ascii="宋体" w:hAnsi="宋体" w:eastAsia="宋体"/>
          <w:color w:val="000000"/>
          <w:sz w:val="28"/>
          <w:szCs w:val="28"/>
          <w:highlight w:val="none"/>
          <w:lang w:val="en-US" w:eastAsia="zh-CN"/>
        </w:rPr>
      </w:pPr>
    </w:p>
    <w:p w14:paraId="34A6DE1A">
      <w:pPr>
        <w:adjustRightInd w:val="0"/>
        <w:snapToGrid w:val="0"/>
        <w:spacing w:line="560" w:lineRule="exact"/>
        <w:jc w:val="center"/>
        <w:rPr>
          <w:rFonts w:ascii="宋体" w:hAnsi="宋体" w:eastAsia="宋体"/>
          <w:color w:val="000000"/>
          <w:sz w:val="28"/>
          <w:szCs w:val="28"/>
          <w:highlight w:val="none"/>
          <w:lang w:val="en-US" w:eastAsia="zh-CN"/>
        </w:rPr>
      </w:pPr>
    </w:p>
    <w:p w14:paraId="5F0C74B6">
      <w:pPr>
        <w:pStyle w:val="8"/>
        <w:jc w:val="both"/>
        <w:rPr>
          <w:color w:val="000000"/>
          <w:highlight w:val="none"/>
          <w:lang w:val="en-US" w:eastAsia="zh-CN"/>
        </w:rPr>
      </w:pPr>
    </w:p>
    <w:p w14:paraId="6E25AD8C">
      <w:pPr>
        <w:jc w:val="both"/>
        <w:rPr>
          <w:color w:val="000000"/>
          <w:highlight w:val="none"/>
          <w:lang w:val="en-US" w:eastAsia="zh-CN"/>
        </w:rPr>
      </w:pPr>
    </w:p>
    <w:p w14:paraId="1F8D6C77">
      <w:pPr>
        <w:overflowPunct w:val="0"/>
        <w:adjustRightInd w:val="0"/>
        <w:snapToGrid w:val="0"/>
        <w:spacing w:line="560" w:lineRule="exact"/>
        <w:jc w:val="center"/>
        <w:rPr>
          <w:rFonts w:hint="eastAsia" w:ascii="黑体" w:hAnsi="黑体" w:eastAsia="黑体"/>
          <w:color w:val="000000"/>
          <w:sz w:val="36"/>
          <w:szCs w:val="36"/>
          <w:highlight w:val="none"/>
          <w:lang w:val="en-US" w:eastAsia="zh-CN"/>
        </w:rPr>
      </w:pPr>
      <w:r>
        <w:rPr>
          <w:rFonts w:hint="eastAsia" w:ascii="仿宋" w:hAnsi="仿宋" w:eastAsia="仿宋" w:cs="仿宋"/>
          <w:color w:val="000000"/>
          <w:sz w:val="28"/>
          <w:szCs w:val="28"/>
          <w:highlight w:val="none"/>
          <w:lang w:val="en-US" w:eastAsia="zh-CN"/>
        </w:rPr>
        <w:t>签订日期：2025年   月   日</w:t>
      </w:r>
      <w:r>
        <w:rPr>
          <w:rFonts w:hint="eastAsia" w:ascii="仿宋" w:hAnsi="仿宋" w:eastAsia="仿宋" w:cs="仿宋"/>
          <w:color w:val="000000"/>
          <w:sz w:val="28"/>
          <w:szCs w:val="28"/>
          <w:highlight w:val="none"/>
          <w:lang w:val="en-US" w:eastAsia="zh-CN"/>
        </w:rPr>
        <w:br w:type="page"/>
      </w:r>
      <w:r>
        <w:rPr>
          <w:rFonts w:ascii="黑体" w:hAnsi="黑体" w:eastAsia="黑体" w:cs="黑体"/>
          <w:b/>
          <w:bCs/>
          <w:sz w:val="43"/>
          <w:szCs w:val="43"/>
        </w:rPr>
        <w:t>民事委托代理合同</w:t>
      </w:r>
    </w:p>
    <w:p w14:paraId="3AB28BFC">
      <w:pPr>
        <w:overflowPunct w:val="0"/>
        <w:adjustRightInd w:val="0"/>
        <w:snapToGrid w:val="0"/>
        <w:spacing w:line="560" w:lineRule="exact"/>
        <w:ind w:firstLine="4320" w:firstLineChars="1800"/>
        <w:jc w:val="both"/>
        <w:rPr>
          <w:rFonts w:hint="eastAsia"/>
          <w:color w:val="000000"/>
          <w:sz w:val="24"/>
          <w:highlight w:val="none"/>
          <w:lang w:val="en-US" w:eastAsia="zh-CN"/>
        </w:rPr>
      </w:pPr>
    </w:p>
    <w:p w14:paraId="2FF5AB54">
      <w:pPr>
        <w:pStyle w:val="15"/>
        <w:overflowPunct w:val="0"/>
        <w:snapToGrid w:val="0"/>
        <w:spacing w:line="560" w:lineRule="exact"/>
        <w:ind w:firstLine="562" w:firstLineChars="200"/>
        <w:rPr>
          <w:rFonts w:hint="eastAsia" w:ascii="微软雅黑" w:hAnsi="Times New Roman" w:eastAsia="仿宋" w:cs="微软雅黑"/>
          <w:sz w:val="28"/>
          <w:szCs w:val="28"/>
          <w:highlight w:val="none"/>
          <w:lang w:val="en-US"/>
        </w:rPr>
      </w:pPr>
      <w:r>
        <w:rPr>
          <w:rFonts w:hint="eastAsia" w:ascii="仿宋" w:hAnsi="仿宋" w:eastAsia="仿宋" w:cs="仿宋"/>
          <w:b/>
          <w:color w:val="000000"/>
          <w:sz w:val="28"/>
          <w:szCs w:val="28"/>
          <w:highlight w:val="none"/>
          <w:lang w:val="en-US" w:eastAsia="zh-CN"/>
        </w:rPr>
        <w:t>甲方（聘请单位）</w:t>
      </w:r>
      <w:r>
        <w:rPr>
          <w:rFonts w:hint="eastAsia" w:ascii="微软雅黑" w:hAnsi="Times New Roman" w:eastAsia="仿宋" w:cs="微软雅黑"/>
          <w:color w:val="000000"/>
          <w:sz w:val="28"/>
          <w:szCs w:val="28"/>
          <w:highlight w:val="none"/>
          <w:lang w:val="en-US" w:eastAsia="zh-CN"/>
        </w:rPr>
        <w:t>：</w:t>
      </w:r>
      <w:r>
        <w:rPr>
          <w:rFonts w:hint="eastAsia" w:ascii="微软雅黑" w:hAnsi="Times New Roman" w:eastAsia="仿宋" w:cs="微软雅黑"/>
          <w:sz w:val="28"/>
          <w:szCs w:val="28"/>
          <w:highlight w:val="none"/>
          <w:lang w:val="en-US"/>
        </w:rPr>
        <w:t xml:space="preserve"> 广东长正建设有限公司</w:t>
      </w:r>
    </w:p>
    <w:p w14:paraId="7225B33E">
      <w:pPr>
        <w:pStyle w:val="15"/>
        <w:overflowPunct w:val="0"/>
        <w:snapToGrid w:val="0"/>
        <w:spacing w:line="560" w:lineRule="exact"/>
        <w:ind w:firstLine="560" w:firstLineChars="200"/>
        <w:rPr>
          <w:rFonts w:hint="eastAsia" w:ascii="微软雅黑" w:hAnsi="Times New Roman" w:eastAsia="仿宋" w:cs="微软雅黑"/>
          <w:sz w:val="28"/>
          <w:szCs w:val="28"/>
          <w:highlight w:val="none"/>
          <w:lang w:val="en-US" w:eastAsia="zh-CN"/>
        </w:rPr>
      </w:pPr>
      <w:r>
        <w:rPr>
          <w:rFonts w:hint="eastAsia" w:ascii="微软雅黑" w:hAnsi="Times New Roman" w:eastAsia="仿宋" w:cs="微软雅黑"/>
          <w:sz w:val="28"/>
          <w:szCs w:val="28"/>
          <w:highlight w:val="none"/>
        </w:rPr>
        <w:t>法定代表人：</w:t>
      </w:r>
      <w:r>
        <w:rPr>
          <w:rFonts w:hint="eastAsia" w:eastAsia="仿宋" w:cs="微软雅黑"/>
          <w:sz w:val="28"/>
          <w:szCs w:val="28"/>
          <w:highlight w:val="none"/>
          <w:lang w:val="en-US" w:eastAsia="zh-CN"/>
        </w:rPr>
        <w:t>谢晋</w:t>
      </w:r>
    </w:p>
    <w:p w14:paraId="0C222097">
      <w:pPr>
        <w:pStyle w:val="15"/>
        <w:overflowPunct w:val="0"/>
        <w:snapToGrid w:val="0"/>
        <w:spacing w:line="560" w:lineRule="exact"/>
        <w:ind w:firstLine="560" w:firstLineChars="200"/>
        <w:rPr>
          <w:rFonts w:hint="eastAsia" w:ascii="仿宋" w:hAnsi="仿宋" w:eastAsia="仿宋" w:cs="仿宋"/>
          <w:sz w:val="28"/>
          <w:szCs w:val="28"/>
          <w:highlight w:val="none"/>
        </w:rPr>
      </w:pPr>
      <w:r>
        <w:rPr>
          <w:rFonts w:hint="eastAsia" w:ascii="微软雅黑" w:hAnsi="Times New Roman" w:eastAsia="仿宋" w:cs="微软雅黑"/>
          <w:sz w:val="28"/>
          <w:szCs w:val="28"/>
          <w:highlight w:val="none"/>
        </w:rPr>
        <w:t>统一社会信用代码：</w:t>
      </w:r>
      <w:r>
        <w:rPr>
          <w:rFonts w:hint="eastAsia" w:ascii="仿宋" w:hAnsi="仿宋" w:eastAsia="仿宋" w:cs="仿宋"/>
          <w:sz w:val="28"/>
          <w:szCs w:val="28"/>
          <w:highlight w:val="none"/>
        </w:rPr>
        <w:t>91440400MA5110HN93</w:t>
      </w:r>
    </w:p>
    <w:p w14:paraId="19C7CCFF">
      <w:pPr>
        <w:pStyle w:val="15"/>
        <w:overflowPunct w:val="0"/>
        <w:snapToGrid w:val="0"/>
        <w:spacing w:line="560" w:lineRule="exact"/>
        <w:ind w:firstLine="560" w:firstLineChars="200"/>
        <w:rPr>
          <w:rFonts w:hint="eastAsia" w:ascii="仿宋" w:hAnsi="仿宋" w:eastAsia="仿宋" w:cs="仿宋"/>
          <w:sz w:val="28"/>
          <w:szCs w:val="28"/>
          <w:highlight w:val="none"/>
          <w:lang w:val="en-US" w:eastAsia="zh-CN"/>
        </w:rPr>
      </w:pPr>
      <w:r>
        <w:rPr>
          <w:rFonts w:hint="eastAsia" w:ascii="微软雅黑" w:hAnsi="Times New Roman" w:eastAsia="仿宋" w:cs="微软雅黑"/>
          <w:sz w:val="28"/>
          <w:szCs w:val="28"/>
          <w:highlight w:val="none"/>
          <w:lang w:val="en-US" w:eastAsia="zh-CN"/>
        </w:rPr>
        <w:t>通信</w:t>
      </w:r>
      <w:r>
        <w:rPr>
          <w:rFonts w:hint="eastAsia" w:ascii="微软雅黑" w:hAnsi="Times New Roman" w:eastAsia="仿宋" w:cs="微软雅黑"/>
          <w:sz w:val="28"/>
          <w:szCs w:val="28"/>
          <w:highlight w:val="none"/>
        </w:rPr>
        <w:t>地址：</w:t>
      </w:r>
      <w:r>
        <w:rPr>
          <w:rFonts w:hint="eastAsia" w:ascii="微软雅黑" w:hAnsi="Times New Roman" w:eastAsia="仿宋" w:cs="微软雅黑"/>
          <w:sz w:val="28"/>
          <w:szCs w:val="28"/>
          <w:highlight w:val="none"/>
          <w:lang w:val="en-US" w:eastAsia="zh-CN"/>
        </w:rPr>
        <w:t>珠海市高新区唐家湾镇香山路</w:t>
      </w:r>
      <w:r>
        <w:rPr>
          <w:rFonts w:hint="eastAsia" w:ascii="仿宋" w:hAnsi="仿宋" w:eastAsia="仿宋" w:cs="仿宋"/>
          <w:sz w:val="28"/>
          <w:szCs w:val="28"/>
          <w:highlight w:val="none"/>
          <w:lang w:val="en-US" w:eastAsia="zh-CN"/>
        </w:rPr>
        <w:t>88号2栋20层（珠海信息港2栋20层）</w:t>
      </w:r>
    </w:p>
    <w:p w14:paraId="3E9BBCCC">
      <w:pPr>
        <w:pStyle w:val="15"/>
        <w:overflowPunct w:val="0"/>
        <w:snapToGrid w:val="0"/>
        <w:spacing w:line="560" w:lineRule="exact"/>
        <w:ind w:firstLine="560" w:firstLineChars="200"/>
        <w:rPr>
          <w:rFonts w:hint="eastAsia" w:ascii="仿宋" w:hAnsi="仿宋" w:eastAsia="仿宋" w:cs="仿宋"/>
          <w:sz w:val="28"/>
          <w:szCs w:val="28"/>
          <w:highlight w:val="none"/>
        </w:rPr>
      </w:pPr>
    </w:p>
    <w:p w14:paraId="794F8A98">
      <w:pPr>
        <w:overflowPunct w:val="0"/>
        <w:adjustRightInd w:val="0"/>
        <w:snapToGrid w:val="0"/>
        <w:spacing w:line="560" w:lineRule="exact"/>
        <w:ind w:firstLine="560" w:firstLineChars="200"/>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Hans"/>
        </w:rPr>
        <w:t> </w:t>
      </w:r>
      <w:r>
        <w:rPr>
          <w:rFonts w:hint="eastAsia" w:ascii="仿宋" w:hAnsi="仿宋" w:eastAsia="仿宋" w:cs="仿宋"/>
          <w:b/>
          <w:color w:val="000000"/>
          <w:sz w:val="28"/>
          <w:szCs w:val="28"/>
          <w:highlight w:val="none"/>
          <w:lang w:val="en-US" w:eastAsia="zh-CN"/>
        </w:rPr>
        <w:t>乙方（受聘单位）</w:t>
      </w:r>
      <w:r>
        <w:rPr>
          <w:rFonts w:hint="eastAsia" w:ascii="仿宋" w:hAnsi="仿宋" w:eastAsia="仿宋" w:cs="仿宋"/>
          <w:color w:val="000000"/>
          <w:sz w:val="28"/>
          <w:szCs w:val="28"/>
          <w:highlight w:val="none"/>
          <w:lang w:val="en-US" w:eastAsia="zh-CN"/>
        </w:rPr>
        <w:t>：</w:t>
      </w:r>
    </w:p>
    <w:p w14:paraId="2B859195">
      <w:pPr>
        <w:overflowPunct w:val="0"/>
        <w:adjustRightInd w:val="0"/>
        <w:snapToGrid w:val="0"/>
        <w:spacing w:line="560" w:lineRule="exact"/>
        <w:ind w:firstLine="560" w:firstLineChars="200"/>
        <w:rPr>
          <w:rFonts w:hint="eastAsia" w:ascii="仿宋" w:hAnsi="仿宋" w:eastAsia="仿宋" w:cs="仿宋"/>
          <w:color w:val="000000"/>
          <w:sz w:val="28"/>
          <w:szCs w:val="28"/>
          <w:highlight w:val="none"/>
          <w:lang w:val="en-US" w:eastAsia="zh-CN"/>
        </w:rPr>
      </w:pPr>
    </w:p>
    <w:p w14:paraId="474BD379">
      <w:pPr>
        <w:pStyle w:val="8"/>
        <w:rPr>
          <w:rFonts w:hint="eastAsia"/>
          <w:color w:val="000000"/>
          <w:highlight w:val="none"/>
          <w:lang w:val="en-US" w:eastAsia="zh-CN"/>
        </w:rPr>
      </w:pPr>
    </w:p>
    <w:p w14:paraId="2A5C800B">
      <w:pPr>
        <w:rPr>
          <w:rFonts w:hint="eastAsia"/>
          <w:lang w:val="en-US" w:eastAsia="zh-CN"/>
        </w:rPr>
      </w:pPr>
    </w:p>
    <w:p w14:paraId="13DD33C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甲方因与</w:t>
      </w:r>
      <w:r>
        <w:rPr>
          <w:rFonts w:hint="eastAsia" w:ascii="仿宋" w:hAnsi="仿宋" w:eastAsia="仿宋" w:cs="仿宋"/>
          <w:sz w:val="24"/>
          <w:szCs w:val="24"/>
          <w:u w:val="single"/>
          <w:lang w:val="en-US" w:eastAsia="zh-CN"/>
        </w:rPr>
        <w:t>珠海建威丰盛建材有限公司买卖合同</w:t>
      </w:r>
      <w:r>
        <w:rPr>
          <w:rFonts w:hint="eastAsia" w:ascii="仿宋" w:hAnsi="仿宋" w:eastAsia="仿宋" w:cs="仿宋"/>
          <w:sz w:val="24"/>
          <w:szCs w:val="24"/>
        </w:rPr>
        <w:t>纠纷一案，根据《中华人民共和国民法典》《中华人民共和国民事诉讼法》以及《中华人民共和国律师法》等法律法规的规定，委托乙方指派律师为甲方的委托代理人处理本案。兹甲、乙双方经充分协商一致，订立本合同条款如下，以资甲乙双方共同执行：</w:t>
      </w:r>
    </w:p>
    <w:p w14:paraId="5A6D57B4">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第一条  指派律师及职责</w:t>
      </w:r>
    </w:p>
    <w:p w14:paraId="5A93F8C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 乙方接受甲方的委托，指派</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律师担任甲方在上述案件</w:t>
      </w:r>
      <w:r>
        <w:rPr>
          <w:rFonts w:hint="eastAsia" w:ascii="仿宋" w:hAnsi="仿宋" w:eastAsia="仿宋" w:cs="仿宋"/>
          <w:sz w:val="24"/>
          <w:szCs w:val="24"/>
          <w:lang w:val="en-US" w:eastAsia="zh-CN"/>
        </w:rPr>
        <w:t>包括但不限于</w:t>
      </w:r>
      <w:r>
        <w:rPr>
          <w:rFonts w:hint="eastAsia" w:ascii="仿宋" w:hAnsi="仿宋" w:eastAsia="仿宋" w:cs="仿宋"/>
          <w:sz w:val="24"/>
          <w:szCs w:val="24"/>
          <w:u w:val="single"/>
          <w:lang w:val="en-US" w:eastAsia="zh-CN"/>
        </w:rPr>
        <w:t>一审、二审、执行等阶段</w:t>
      </w:r>
      <w:r>
        <w:rPr>
          <w:rFonts w:hint="eastAsia" w:ascii="仿宋" w:hAnsi="仿宋" w:eastAsia="仿宋" w:cs="仿宋"/>
          <w:sz w:val="24"/>
          <w:szCs w:val="24"/>
        </w:rPr>
        <w:t>的代理人。</w:t>
      </w:r>
    </w:p>
    <w:p w14:paraId="75A05E6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若因处理案件的需要，甲方同意乙方指派其他律师、律师助理、实习律师配合完成委托事项的辅助工作。若所指派的律师因故不能执行职务的，乙方应另行指派律师接替现指派律师的工作。</w:t>
      </w:r>
    </w:p>
    <w:p w14:paraId="3BCAAAE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1.2 乙方应依法维护甲方的合法权益，认真履行代理人的职责。</w:t>
      </w:r>
    </w:p>
    <w:p w14:paraId="22631A3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1.3乙方受指派律师对于在代理工作中接触到的甲方的商业秘密或个人隐私等，负有保密义务。</w:t>
      </w:r>
    </w:p>
    <w:p w14:paraId="764FF79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1.4 利益相对方、案由、受理机关、涉案标的：              </w:t>
      </w:r>
    </w:p>
    <w:p w14:paraId="02C508BA">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第二条  证据提供及案情陈述</w:t>
      </w:r>
    </w:p>
    <w:p w14:paraId="6C8A90CC">
      <w:pPr>
        <w:pStyle w:val="4"/>
        <w:spacing w:line="440" w:lineRule="exact"/>
        <w:ind w:left="0" w:leftChars="0" w:firstLine="480" w:firstLineChars="200"/>
        <w:rPr>
          <w:rFonts w:ascii="仿宋" w:hAnsi="仿宋" w:eastAsia="仿宋" w:cs="仿宋"/>
          <w:sz w:val="24"/>
          <w:szCs w:val="24"/>
        </w:rPr>
      </w:pPr>
      <w:r>
        <w:rPr>
          <w:rFonts w:hint="eastAsia" w:ascii="仿宋" w:hAnsi="仿宋" w:eastAsia="仿宋" w:cs="仿宋"/>
          <w:sz w:val="24"/>
          <w:szCs w:val="24"/>
        </w:rPr>
        <w:t xml:space="preserve">2.1 甲方应客观、真实、全面地向代理律师陈述案情（事件）事实，并提供与本案（事件）有关的全部证据。证据原件等材料在双方之间的交接，以签收清单为准。 </w:t>
      </w:r>
    </w:p>
    <w:p w14:paraId="6D2AA6E8">
      <w:pPr>
        <w:pStyle w:val="4"/>
        <w:spacing w:line="440" w:lineRule="exact"/>
        <w:ind w:left="0" w:leftChars="0" w:firstLine="480" w:firstLineChars="200"/>
        <w:rPr>
          <w:rFonts w:ascii="仿宋" w:hAnsi="仿宋" w:eastAsia="仿宋" w:cs="仿宋"/>
          <w:sz w:val="24"/>
          <w:szCs w:val="24"/>
        </w:rPr>
      </w:pPr>
      <w:r>
        <w:rPr>
          <w:rFonts w:hint="eastAsia" w:ascii="仿宋" w:hAnsi="仿宋" w:eastAsia="仿宋" w:cs="仿宋"/>
          <w:sz w:val="24"/>
          <w:szCs w:val="24"/>
        </w:rPr>
        <w:t>2.2 甲方保证所提供的证据真实、合法，不得故意隐瞒案情，或提供虚假证据，欺骗代理律师。</w:t>
      </w:r>
    </w:p>
    <w:p w14:paraId="5E66D31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2.3甲方有责任对委托事务做出独立的判断和决策，乙方的建议仅供甲方决策参考，甲方根据乙方律师提供的法律意见、建议、方案所做出的决定而导致的法律后果由甲方自行承担；</w:t>
      </w:r>
    </w:p>
    <w:p w14:paraId="11658F4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2.4甲方不得要求乙方律师为其提供违反法律法规、社会公德以及其它损害社会公共利益或他人合法权益的服务，也不得要求乙方违反律师职业道德和执业纪律提供法律服务；</w:t>
      </w:r>
    </w:p>
    <w:p w14:paraId="09898129">
      <w:pPr>
        <w:numPr>
          <w:ilvl w:val="0"/>
          <w:numId w:val="2"/>
        </w:num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 xml:space="preserve"> 代理事项和代理权限</w:t>
      </w:r>
    </w:p>
    <w:p w14:paraId="61C6F1DC">
      <w:pPr>
        <w:spacing w:line="360" w:lineRule="auto"/>
        <w:ind w:firstLine="480" w:firstLineChars="200"/>
        <w:rPr>
          <w:rFonts w:ascii="宋体" w:hAnsi="宋体"/>
          <w:sz w:val="24"/>
        </w:rPr>
      </w:pPr>
      <w:r>
        <w:rPr>
          <w:rFonts w:hint="eastAsia" w:ascii="仿宋" w:hAnsi="仿宋" w:eastAsia="仿宋" w:cs="仿宋"/>
          <w:sz w:val="24"/>
          <w:szCs w:val="24"/>
        </w:rPr>
        <w:t>以授权委托书为准。</w:t>
      </w:r>
    </w:p>
    <w:p w14:paraId="0FA7C64B">
      <w:pPr>
        <w:numPr>
          <w:ilvl w:val="0"/>
          <w:numId w:val="2"/>
        </w:num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律师费等费用构成及支付</w:t>
      </w:r>
    </w:p>
    <w:p w14:paraId="614164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highlight w:val="none"/>
        </w:rPr>
        <w:t xml:space="preserve">4.1 </w:t>
      </w:r>
      <w:r>
        <w:rPr>
          <w:rFonts w:hint="eastAsia" w:ascii="仿宋" w:hAnsi="仿宋" w:eastAsia="仿宋" w:cs="仿宋"/>
          <w:sz w:val="24"/>
          <w:szCs w:val="24"/>
          <w:lang w:val="en-US" w:eastAsia="zh-CN"/>
        </w:rPr>
        <w:t>本案采取半风险模式计费方法，即法律服务总代理费由【基础费用+风险代理费用】组成，风险代理费用根据后续实际执行回款金额按风险代理费率计取。</w:t>
      </w:r>
      <w:r>
        <w:rPr>
          <w:rFonts w:hint="eastAsia" w:ascii="仿宋" w:hAnsi="仿宋" w:eastAsia="仿宋" w:cs="仿宋"/>
          <w:sz w:val="24"/>
          <w:szCs w:val="24"/>
        </w:rPr>
        <w:t>具体安排如下：</w:t>
      </w:r>
    </w:p>
    <w:p w14:paraId="01149D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基础费用</w:t>
      </w:r>
      <w:r>
        <w:rPr>
          <w:rFonts w:hint="eastAsia" w:ascii="仿宋" w:hAnsi="仿宋" w:eastAsia="仿宋" w:cs="仿宋"/>
          <w:sz w:val="24"/>
          <w:szCs w:val="24"/>
          <w:highlight w:val="none"/>
        </w:rPr>
        <w:t>：人民币</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元（大写：</w:t>
      </w:r>
      <w:r>
        <w:rPr>
          <w:rFonts w:hint="eastAsia" w:ascii="仿宋" w:hAnsi="仿宋" w:eastAsia="仿宋" w:cs="仿宋"/>
          <w:sz w:val="24"/>
          <w:szCs w:val="24"/>
          <w:highlight w:val="none"/>
          <w:u w:val="single"/>
          <w:lang w:val="en-US" w:eastAsia="zh-CN"/>
        </w:rPr>
        <w:t xml:space="preserve">       万</w:t>
      </w:r>
      <w:r>
        <w:rPr>
          <w:rFonts w:hint="eastAsia" w:ascii="仿宋" w:hAnsi="仿宋" w:eastAsia="仿宋" w:cs="仿宋"/>
          <w:sz w:val="24"/>
          <w:szCs w:val="24"/>
          <w:highlight w:val="none"/>
        </w:rPr>
        <w:t>元）</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甲方应于本合同签订之日起</w:t>
      </w:r>
      <w:r>
        <w:rPr>
          <w:rFonts w:hint="eastAsia" w:ascii="仿宋" w:hAnsi="仿宋" w:eastAsia="仿宋" w:cs="仿宋"/>
          <w:sz w:val="24"/>
          <w:szCs w:val="24"/>
          <w:highlight w:val="none"/>
          <w:lang w:val="en-US" w:eastAsia="zh-CN"/>
        </w:rPr>
        <w:t>10个工作日</w:t>
      </w:r>
      <w:r>
        <w:rPr>
          <w:rFonts w:hint="eastAsia" w:ascii="仿宋" w:hAnsi="仿宋" w:eastAsia="仿宋" w:cs="仿宋"/>
          <w:sz w:val="24"/>
          <w:szCs w:val="24"/>
          <w:highlight w:val="none"/>
        </w:rPr>
        <w:t>内，向乙方一次性支付</w:t>
      </w:r>
      <w:r>
        <w:rPr>
          <w:rFonts w:hint="eastAsia" w:ascii="仿宋" w:hAnsi="仿宋" w:eastAsia="仿宋" w:cs="仿宋"/>
          <w:sz w:val="24"/>
          <w:szCs w:val="24"/>
          <w:highlight w:val="none"/>
          <w:lang w:val="en-US" w:eastAsia="zh-CN"/>
        </w:rPr>
        <w:t>；</w:t>
      </w:r>
    </w:p>
    <w:p w14:paraId="08C98273">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风险代理费</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以</w:t>
      </w:r>
      <w:r>
        <w:rPr>
          <w:rFonts w:hint="eastAsia" w:ascii="仿宋" w:hAnsi="仿宋" w:eastAsia="仿宋" w:cs="仿宋"/>
          <w:sz w:val="24"/>
          <w:szCs w:val="24"/>
        </w:rPr>
        <w:t>甲方最终实现债权标的额的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w:t>
      </w:r>
      <w:r>
        <w:rPr>
          <w:rFonts w:hint="eastAsia" w:ascii="仿宋" w:hAnsi="仿宋" w:eastAsia="仿宋" w:cs="仿宋"/>
          <w:sz w:val="24"/>
          <w:szCs w:val="24"/>
          <w:lang w:val="en-US" w:eastAsia="zh-CN"/>
        </w:rPr>
        <w:t>计算</w:t>
      </w:r>
      <w:r>
        <w:rPr>
          <w:rFonts w:hint="eastAsia" w:ascii="仿宋" w:hAnsi="仿宋" w:eastAsia="仿宋" w:cs="仿宋"/>
          <w:sz w:val="24"/>
          <w:szCs w:val="24"/>
        </w:rPr>
        <w:t>；</w:t>
      </w:r>
      <w:r>
        <w:rPr>
          <w:rFonts w:hint="eastAsia" w:ascii="仿宋" w:hAnsi="仿宋" w:eastAsia="仿宋" w:cs="仿宋"/>
          <w:kern w:val="2"/>
          <w:sz w:val="24"/>
          <w:szCs w:val="24"/>
          <w:highlight w:val="none"/>
          <w:lang w:val="en-US" w:eastAsia="zh-CN" w:bidi="ar-SA"/>
        </w:rPr>
        <w:t>以甲方实际收到追回款项（以银行回单为准）后的10个工作日内支付；如案件双方在开庭前和解或调解的，则只需支付基础费用，无需支付风险部分律师费用。</w:t>
      </w:r>
    </w:p>
    <w:p w14:paraId="3E6B29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（3）上述所指【追回款项】为债权本金、利息、违约金、赔偿金等，不包含受理费、仲裁费、保全费、保全担保费、律师费等。</w:t>
      </w:r>
      <w:bookmarkStart w:id="2" w:name="_GoBack"/>
      <w:bookmarkEnd w:id="2"/>
    </w:p>
    <w:p w14:paraId="255881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hint="eastAsia" w:ascii="仿宋" w:hAnsi="仿宋" w:eastAsia="仿宋" w:cs="仿宋"/>
          <w:sz w:val="24"/>
          <w:szCs w:val="24"/>
        </w:rPr>
        <w:t>甲方应依本合同的约定，按时、足额向乙方支付律师费;否则，乙方不承担本合同项下的合同义务，由此造成的后果，乙方概不承担责任</w:t>
      </w:r>
      <w:r>
        <w:rPr>
          <w:rFonts w:hint="eastAsia" w:ascii="仿宋" w:hAnsi="仿宋" w:eastAsia="仿宋" w:cs="仿宋"/>
          <w:sz w:val="24"/>
          <w:szCs w:val="24"/>
          <w:lang w:eastAsia="zh-CN"/>
        </w:rPr>
        <w:t>。</w:t>
      </w:r>
    </w:p>
    <w:p w14:paraId="673F019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rPr>
        <w:t>2</w:t>
      </w:r>
      <w:r>
        <w:rPr>
          <w:rFonts w:hint="eastAsia" w:ascii="仿宋" w:hAnsi="仿宋" w:eastAsia="仿宋" w:cs="仿宋"/>
          <w:sz w:val="24"/>
          <w:szCs w:val="24"/>
        </w:rPr>
        <w:t xml:space="preserve"> 根据《中华人民共和国律师法》及国家司法部关于律师执业纪律及执业道德的规定，执业律师不得直接向当事人收取律师费。甲方已知悉前述规定。若甲方以现金方式向乙方支付律师费的，则应直接缴纳至</w:t>
      </w:r>
      <w:r>
        <w:rPr>
          <w:rFonts w:hint="eastAsia" w:ascii="仿宋" w:hAnsi="仿宋" w:eastAsia="仿宋" w:cs="仿宋"/>
          <w:sz w:val="24"/>
          <w:szCs w:val="24"/>
          <w:lang w:val="en-US"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，并由乙方开具律师费发票给甲方；若甲方以银行转帐方式支付律师费的，则应转付入下列帐户：</w:t>
      </w:r>
    </w:p>
    <w:p w14:paraId="01FB0054">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户  名：</w:t>
      </w:r>
    </w:p>
    <w:p w14:paraId="623B17F7">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账  号：</w:t>
      </w:r>
    </w:p>
    <w:p w14:paraId="600EED16">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开户行：</w:t>
      </w:r>
    </w:p>
    <w:p w14:paraId="272EFC8A">
      <w:pPr>
        <w:spacing w:line="360" w:lineRule="auto"/>
        <w:ind w:firstLine="480" w:firstLineChars="200"/>
        <w:rPr>
          <w:rFonts w:ascii="宋体" w:hAnsi="宋体"/>
          <w:sz w:val="24"/>
        </w:rPr>
      </w:pPr>
      <w:r>
        <w:rPr>
          <w:rFonts w:hint="eastAsia" w:ascii="仿宋" w:hAnsi="仿宋" w:eastAsia="仿宋" w:cs="仿宋"/>
          <w:sz w:val="24"/>
          <w:szCs w:val="24"/>
        </w:rPr>
        <w:t>4.</w:t>
      </w:r>
      <w:r>
        <w:rPr>
          <w:rFonts w:hint="eastAsia" w:ascii="仿宋" w:hAnsi="仿宋" w:eastAsia="仿宋" w:cs="仿宋"/>
          <w:sz w:val="24"/>
          <w:szCs w:val="24"/>
          <w:lang w:val="en-US"/>
        </w:rPr>
        <w:t>3</w:t>
      </w:r>
      <w:r>
        <w:rPr>
          <w:rFonts w:hint="eastAsia" w:ascii="仿宋" w:hAnsi="仿宋" w:eastAsia="仿宋" w:cs="仿宋"/>
          <w:sz w:val="24"/>
          <w:szCs w:val="24"/>
        </w:rPr>
        <w:t>乙方律师办理委托事项所发生的下列工作费用由甲方承担：有关行政机关、司法机关及鉴定、评估、公证等部门收取的诉讼费、保全费等费用，以及乙方律师赴珠海市区以外的</w:t>
      </w:r>
      <w:r>
        <w:rPr>
          <w:rFonts w:hint="eastAsia" w:ascii="仿宋" w:hAnsi="仿宋" w:eastAsia="仿宋" w:cs="仿宋"/>
          <w:b/>
          <w:bCs/>
          <w:sz w:val="24"/>
          <w:szCs w:val="24"/>
        </w:rPr>
        <w:t>办案差旅费</w:t>
      </w:r>
      <w:r>
        <w:rPr>
          <w:rFonts w:hint="eastAsia" w:ascii="仿宋" w:hAnsi="仿宋" w:eastAsia="仿宋" w:cs="仿宋"/>
          <w:sz w:val="24"/>
          <w:szCs w:val="24"/>
        </w:rPr>
        <w:t>等。</w:t>
      </w:r>
    </w:p>
    <w:p w14:paraId="3B5CA05E">
      <w:pPr>
        <w:numPr>
          <w:ilvl w:val="0"/>
          <w:numId w:val="2"/>
        </w:num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 xml:space="preserve"> 风险告知及过错、责任</w:t>
      </w:r>
    </w:p>
    <w:p w14:paraId="45CB9E9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5.1 本案的诉讼风险，乙方已充分告知甲方；甲方对此知悉，并自愿承担该诉讼风险。</w:t>
      </w:r>
    </w:p>
    <w:p w14:paraId="6380E74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5.2 若确因乙方受指派律师工作上的严重失职而造成甲方重大损害的，则甲方有权解除委托代理关系，并有权要求乙方赔偿相应的损失。</w:t>
      </w:r>
    </w:p>
    <w:p w14:paraId="29F11E8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5.3 若甲方中途解除与乙方的委托代理关系，或因甲方未按时缴纳诉讼费等费用而导致人民法院裁定/仲裁机构裁决本案按自动撤诉处理的，则乙方有权要求甲方按合同第四条的约定向乙方全额支付律师费。 </w:t>
      </w:r>
    </w:p>
    <w:p w14:paraId="15B3D44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5.4 若因甲方原因不及时签署《授权委托书》等，而导致乙方无法办理本合同约定的代理事项的，则乙方不承担任何法律责任；同时，乙方有权要求甲方按合同第四条的约定向乙方支付全额律师费。</w:t>
      </w:r>
    </w:p>
    <w:p w14:paraId="7717E20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5.5 若甲方有本合同第二条第2.2款情形的，则乙方有权解除本合同、终止代理关系，已收律师费不予退还，乙方有权要求甲方按本合同第四条的约定向乙方全额支付律师费。</w:t>
      </w:r>
    </w:p>
    <w:p w14:paraId="32CAD22A">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第六条  合同变更</w:t>
      </w:r>
    </w:p>
    <w:p w14:paraId="279CED7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 甲、乙双方协商一致，可以变更或者解除本合同；</w:t>
      </w:r>
    </w:p>
    <w:p w14:paraId="599F833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6.2 因甲方追加委托事项或增加诉讼当事人或再审、发回重审等，或当事人一方提出反诉、增加诉讼请求等重大诉讼事件变更导致代理事项明显增多的，乙方有权要求增加律师代理费，甲方应当合理地追加律师代理费；增加律师代理费协商未成的，乙方有权在原委托范围内进行工作。</w:t>
      </w:r>
    </w:p>
    <w:p w14:paraId="5B4848D2">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第七条 </w:t>
      </w:r>
      <w:r>
        <w:rPr>
          <w:rFonts w:hint="eastAsia" w:ascii="仿宋" w:hAnsi="仿宋" w:eastAsia="仿宋" w:cs="仿宋"/>
          <w:b/>
          <w:bCs/>
          <w:sz w:val="24"/>
          <w:szCs w:val="24"/>
          <w:lang w:val="en-US"/>
        </w:rPr>
        <w:t xml:space="preserve"> </w:t>
      </w:r>
      <w:r>
        <w:rPr>
          <w:rFonts w:hint="eastAsia" w:ascii="仿宋" w:hAnsi="仿宋" w:eastAsia="仿宋" w:cs="仿宋"/>
          <w:b/>
          <w:bCs/>
          <w:sz w:val="24"/>
          <w:szCs w:val="24"/>
        </w:rPr>
        <w:t>违约责任</w:t>
      </w:r>
    </w:p>
    <w:p w14:paraId="5B3D05AC">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7.1 甲方迟延支付律师费、办案费的，应按照每日千分之三的标准支付违约金，乙方有权暂停履行合同义务；</w:t>
      </w:r>
    </w:p>
    <w:p w14:paraId="3B9BAC47">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7.2 甲方有下列情形之一的，乙方有权解除合同：</w:t>
      </w:r>
    </w:p>
    <w:p w14:paraId="329333BD">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rPr>
        <w:t>1</w:t>
      </w:r>
      <w:r>
        <w:rPr>
          <w:rFonts w:hint="eastAsia" w:ascii="仿宋" w:hAnsi="仿宋" w:eastAsia="仿宋" w:cs="仿宋"/>
          <w:b/>
          <w:bCs/>
          <w:sz w:val="24"/>
          <w:szCs w:val="24"/>
        </w:rPr>
        <w:t>）甲方迟延支付律师费、办案费超过十日；</w:t>
      </w:r>
    </w:p>
    <w:p w14:paraId="6E17B45A">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rPr>
        <w:t>2</w:t>
      </w:r>
      <w:r>
        <w:rPr>
          <w:rFonts w:hint="eastAsia" w:ascii="仿宋" w:hAnsi="仿宋" w:eastAsia="仿宋" w:cs="仿宋"/>
          <w:b/>
          <w:bCs/>
          <w:sz w:val="24"/>
          <w:szCs w:val="24"/>
        </w:rPr>
        <w:t>）甲方委托事项违反法律或者违反律师执业规范；</w:t>
      </w:r>
    </w:p>
    <w:p w14:paraId="333FDFE6">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rPr>
        <w:t>3</w:t>
      </w:r>
      <w:r>
        <w:rPr>
          <w:rFonts w:hint="eastAsia" w:ascii="仿宋" w:hAnsi="仿宋" w:eastAsia="仿宋" w:cs="仿宋"/>
          <w:b/>
          <w:bCs/>
          <w:sz w:val="24"/>
          <w:szCs w:val="24"/>
        </w:rPr>
        <w:t>）甲方故意隐瞒案情、虚假陈述或提供虚假证据；</w:t>
      </w:r>
    </w:p>
    <w:p w14:paraId="7EBBC966">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7.3 有下列情形之一的，甲方仍应按本合同第四条的约定向乙方支付全额律师费及工作费用，已交的律师费和工作费用不予退还；</w:t>
      </w:r>
    </w:p>
    <w:p w14:paraId="241F3915">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rPr>
        <w:t>1</w:t>
      </w:r>
      <w:r>
        <w:rPr>
          <w:rFonts w:hint="eastAsia" w:ascii="仿宋" w:hAnsi="仿宋" w:eastAsia="仿宋" w:cs="仿宋"/>
          <w:b/>
          <w:bCs/>
          <w:sz w:val="24"/>
          <w:szCs w:val="24"/>
        </w:rPr>
        <w:t>）因甲方撤案、和解、放弃权利、实现权利等原因导致本合同约定的受托事项提前终结；</w:t>
      </w:r>
    </w:p>
    <w:p w14:paraId="4D8CBD16">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rPr>
        <w:t>2</w:t>
      </w:r>
      <w:r>
        <w:rPr>
          <w:rFonts w:hint="eastAsia" w:ascii="仿宋" w:hAnsi="仿宋" w:eastAsia="仿宋" w:cs="仿宋"/>
          <w:b/>
          <w:bCs/>
          <w:sz w:val="24"/>
          <w:szCs w:val="24"/>
        </w:rPr>
        <w:t>）甲方单方无故终止本合同的；</w:t>
      </w:r>
    </w:p>
    <w:p w14:paraId="3C8F105E">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rPr>
        <w:t>3</w:t>
      </w:r>
      <w:r>
        <w:rPr>
          <w:rFonts w:hint="eastAsia" w:ascii="仿宋" w:hAnsi="仿宋" w:eastAsia="仿宋" w:cs="仿宋"/>
          <w:b/>
          <w:bCs/>
          <w:sz w:val="24"/>
          <w:szCs w:val="24"/>
        </w:rPr>
        <w:t>）由于甲方的原因导致乙方有权单方解除合同的。</w:t>
      </w:r>
    </w:p>
    <w:p w14:paraId="7A1E9AD8">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（4）甲方故意隐瞒案情、虚假陈述或提供虚假证据；</w:t>
      </w:r>
    </w:p>
    <w:p w14:paraId="0E44E764">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第八条  合同生效及期限</w:t>
      </w:r>
    </w:p>
    <w:p w14:paraId="328D1290">
      <w:pPr>
        <w:pStyle w:val="3"/>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8.1 本合同壹式叁份，甲、乙双方及乙方律师各执壹份，均具有同等法律效力；</w:t>
      </w:r>
    </w:p>
    <w:p w14:paraId="558198A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8.2 本合同自生效日起至</w:t>
      </w:r>
      <w:r>
        <w:rPr>
          <w:rFonts w:hint="eastAsia" w:ascii="仿宋" w:hAnsi="仿宋" w:eastAsia="仿宋" w:cs="仿宋"/>
          <w:sz w:val="24"/>
          <w:szCs w:val="24"/>
          <w:lang w:val="en-US" w:eastAsia="zh-CN"/>
        </w:rPr>
        <w:t>珠海市仲裁委员会</w:t>
      </w:r>
      <w:r>
        <w:rPr>
          <w:rFonts w:hint="eastAsia" w:ascii="仿宋" w:hAnsi="仿宋" w:eastAsia="仿宋" w:cs="仿宋"/>
          <w:sz w:val="24"/>
          <w:szCs w:val="24"/>
        </w:rPr>
        <w:t>就本案作出裁判文书（含</w:t>
      </w:r>
      <w:r>
        <w:rPr>
          <w:rFonts w:hint="eastAsia" w:ascii="仿宋" w:hAnsi="仿宋" w:eastAsia="仿宋" w:cs="仿宋"/>
          <w:sz w:val="24"/>
          <w:szCs w:val="24"/>
          <w:lang w:val="en-US" w:eastAsia="zh-CN"/>
        </w:rPr>
        <w:t>仲裁</w:t>
      </w:r>
      <w:r>
        <w:rPr>
          <w:rFonts w:hint="eastAsia" w:ascii="仿宋" w:hAnsi="仿宋" w:eastAsia="仿宋" w:cs="仿宋"/>
          <w:sz w:val="24"/>
          <w:szCs w:val="24"/>
        </w:rPr>
        <w:t>调解书）或甲方与对方当事人达成和解，或对方当事人（或甲方）撤回</w:t>
      </w:r>
      <w:r>
        <w:rPr>
          <w:rFonts w:hint="eastAsia" w:ascii="仿宋" w:hAnsi="仿宋" w:eastAsia="仿宋" w:cs="仿宋"/>
          <w:sz w:val="24"/>
          <w:szCs w:val="24"/>
          <w:lang w:val="en-US" w:eastAsia="zh-CN"/>
        </w:rPr>
        <w:t>仲裁请求</w:t>
      </w:r>
      <w:r>
        <w:rPr>
          <w:rFonts w:hint="eastAsia" w:ascii="仿宋" w:hAnsi="仿宋" w:eastAsia="仿宋" w:cs="仿宋"/>
          <w:sz w:val="24"/>
          <w:szCs w:val="24"/>
        </w:rPr>
        <w:t>时止【若一方提前解约、终止委托代理关系的或因客观原因终止执行合同的除外】。</w:t>
      </w:r>
    </w:p>
    <w:p w14:paraId="4BA8D38F">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第九条  其他事项</w:t>
      </w:r>
    </w:p>
    <w:p w14:paraId="3EAD62B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9.1 甲、乙双方因履行本合同产生的争议，应友好协商解决；如协商不成，任何一方均有权将争议提交珠海国际仲裁院（珠海仲裁委员会），按照提交仲裁时该会现行有效的仲裁规则进行仲裁，仲裁裁决是终局的，对甲、乙双方均有约束力；</w:t>
      </w:r>
    </w:p>
    <w:p w14:paraId="0E60E3B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9.2 甲方已阅读、知悉并签署本合同附件1《诉讼、仲裁风险告知书》。</w:t>
      </w:r>
    </w:p>
    <w:p w14:paraId="13A1196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9.3 通知文书送达：甲、乙双方因履行本合同而相互发出或者提供的所有通知、文件、材料，均以本合同所列明的地址、电话、传真、电子邮箱进行通知和送达。一方迁址或者变更电话、传真、电子邮箱的，则应于更变后5日内书面通知对方。以当面交付文件方式送达的，交付之时视为送达；以电子邮件方式送达的，发出电子邮件时视为送达；以传真方式送达的，发出传真时视为送达；以邮寄方式送达的，邮件交邮当日视为送达。</w:t>
      </w:r>
    </w:p>
    <w:p w14:paraId="23AA35C5">
      <w:pPr>
        <w:spacing w:line="360" w:lineRule="auto"/>
        <w:ind w:firstLine="480" w:firstLineChars="200"/>
        <w:rPr>
          <w:rFonts w:ascii="仿宋" w:hAnsi="仿宋" w:eastAsia="仿宋" w:cs="仿宋"/>
          <w:sz w:val="24"/>
          <w:szCs w:val="24"/>
          <w:u w:val="single"/>
        </w:rPr>
      </w:pPr>
      <w:bookmarkStart w:id="1" w:name="_Hlk112354251"/>
      <w:r>
        <w:rPr>
          <w:rFonts w:hint="eastAsia" w:ascii="仿宋" w:hAnsi="仿宋" w:eastAsia="仿宋" w:cs="仿宋"/>
          <w:sz w:val="24"/>
          <w:szCs w:val="24"/>
          <w:u w:val="single"/>
        </w:rPr>
        <w:t>双方同意，前述双方确认的送达地址也是双方争议解决过程中司法机关诉讼材料的送达地址，司法机关按前述地址送达诉讼材料的，无论收件方是否签收，均视为送达。</w:t>
      </w:r>
      <w:bookmarkEnd w:id="1"/>
    </w:p>
    <w:p w14:paraId="1E2009B1">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9.4 乙方就本合同条款内容已向甲方作了明确说明，甲方已理解并同意上述全部条款内容。</w:t>
      </w:r>
    </w:p>
    <w:p w14:paraId="3C803157">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第十条  特别约定</w:t>
      </w:r>
    </w:p>
    <w:p w14:paraId="7D977A2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10.1 根据《中华人民共和国律师法》及有关规定，乙方律师依法尽职尽责提供法律服务，努力维护甲方的合法权益，但不得对案件实际结果作任何承诺；</w:t>
      </w:r>
    </w:p>
    <w:p w14:paraId="45DE15E1">
      <w:pPr>
        <w:spacing w:line="360" w:lineRule="auto"/>
        <w:ind w:firstLine="480" w:firstLineChars="200"/>
        <w:rPr>
          <w:rFonts w:asciiTheme="minorEastAsia" w:hAnsiTheme="minorEastAsia" w:eastAsiaTheme="minorEastAsia" w:cstheme="minorEastAsia"/>
          <w:sz w:val="24"/>
          <w:szCs w:val="24"/>
        </w:rPr>
      </w:pPr>
      <w:r>
        <w:rPr>
          <w:rFonts w:hint="eastAsia" w:ascii="仿宋" w:hAnsi="仿宋" w:eastAsia="仿宋" w:cs="仿宋"/>
          <w:sz w:val="24"/>
          <w:szCs w:val="24"/>
        </w:rPr>
        <w:t>10.2乙方在签订本合同之前已经向甲方解释了收费规定及标准。甲方在本合同签署之前已经全部阅读并知悉合同内容，本合同系双方自愿协商一致达成。</w:t>
      </w:r>
    </w:p>
    <w:p w14:paraId="2FCC40A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（以下无正文）</w:t>
      </w:r>
    </w:p>
    <w:p w14:paraId="68CBE474">
      <w:pPr>
        <w:spacing w:line="360" w:lineRule="auto"/>
        <w:rPr>
          <w:rFonts w:hint="eastAsia" w:ascii="仿宋" w:hAnsi="仿宋" w:eastAsia="仿宋" w:cs="仿宋"/>
          <w:sz w:val="24"/>
          <w:szCs w:val="24"/>
        </w:rPr>
      </w:pPr>
    </w:p>
    <w:p w14:paraId="06618F80">
      <w:pPr>
        <w:spacing w:line="360" w:lineRule="auto"/>
        <w:rPr>
          <w:rFonts w:hint="eastAsia" w:ascii="仿宋" w:hAnsi="仿宋" w:eastAsia="仿宋" w:cs="仿宋"/>
          <w:sz w:val="24"/>
          <w:szCs w:val="24"/>
        </w:rPr>
      </w:pPr>
    </w:p>
    <w:p w14:paraId="2F88B11D">
      <w:pPr>
        <w:spacing w:line="360" w:lineRule="auto"/>
        <w:rPr>
          <w:rFonts w:hint="eastAsia" w:ascii="仿宋" w:hAnsi="仿宋" w:eastAsia="仿宋" w:cs="仿宋"/>
          <w:sz w:val="24"/>
          <w:szCs w:val="24"/>
        </w:rPr>
      </w:pPr>
    </w:p>
    <w:p w14:paraId="7BAA14D8">
      <w:pPr>
        <w:spacing w:line="360" w:lineRule="auto"/>
        <w:rPr>
          <w:rFonts w:hint="eastAsia" w:ascii="仿宋" w:hAnsi="仿宋" w:eastAsia="仿宋" w:cs="仿宋"/>
          <w:sz w:val="24"/>
          <w:szCs w:val="24"/>
        </w:rPr>
      </w:pPr>
    </w:p>
    <w:p w14:paraId="57B28EC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甲方： </w:t>
      </w:r>
      <w:r>
        <w:rPr>
          <w:rFonts w:hint="eastAsia" w:ascii="宋体" w:hAnsi="宋体" w:eastAsia="宋体" w:cs="宋体"/>
          <w:b/>
          <w:bCs/>
          <w:sz w:val="24"/>
          <w:szCs w:val="24"/>
          <w:u w:val="none"/>
          <w:lang w:val="en-US" w:eastAsia="zh-Hans"/>
        </w:rPr>
        <w:t>广东长正建设有限公司</w:t>
      </w:r>
      <w:r>
        <w:rPr>
          <w:rFonts w:hint="eastAsia" w:ascii="宋体" w:hAnsi="宋体" w:eastAsia="宋体" w:cs="宋体"/>
          <w:b/>
          <w:bCs/>
          <w:sz w:val="24"/>
          <w:szCs w:val="24"/>
          <w:u w:val="none"/>
        </w:rPr>
        <w:t xml:space="preserve"> </w:t>
      </w:r>
      <w:r>
        <w:rPr>
          <w:rFonts w:hint="eastAsia" w:ascii="宋体" w:hAnsi="宋体" w:eastAsia="宋体" w:cs="宋体"/>
          <w:b/>
          <w:bCs/>
          <w:sz w:val="24"/>
          <w:szCs w:val="24"/>
          <w:u w:val="none"/>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乙方：</w:t>
      </w:r>
    </w:p>
    <w:p w14:paraId="6AE07D9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代表人：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代表人：                                          </w:t>
      </w:r>
    </w:p>
    <w:p w14:paraId="498D64E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签约时间：      年    月    日         </w:t>
      </w:r>
    </w:p>
    <w:p w14:paraId="09BF8E11">
      <w:pPr>
        <w:spacing w:line="360" w:lineRule="auto"/>
        <w:ind w:firstLine="480" w:firstLineChars="200"/>
        <w:rPr>
          <w:rFonts w:ascii="仿宋" w:hAnsi="仿宋" w:eastAsia="仿宋" w:cs="仿宋"/>
          <w:sz w:val="24"/>
          <w:szCs w:val="24"/>
        </w:rPr>
      </w:pPr>
    </w:p>
    <w:p w14:paraId="7831E454">
      <w:pPr>
        <w:spacing w:beforeLines="50" w:afterLines="50" w:line="276" w:lineRule="auto"/>
        <w:ind w:firstLine="90" w:firstLineChars="32"/>
        <w:rPr>
          <w:rFonts w:hint="eastAsia" w:ascii="仿宋" w:hAnsi="仿宋" w:eastAsia="仿宋" w:cs="仿宋"/>
          <w:b/>
          <w:bCs/>
          <w:sz w:val="28"/>
          <w:szCs w:val="28"/>
        </w:rPr>
      </w:pPr>
    </w:p>
    <w:p w14:paraId="55F945BD">
      <w:pPr>
        <w:spacing w:beforeLines="50" w:afterLines="50" w:line="276" w:lineRule="auto"/>
        <w:ind w:firstLine="90" w:firstLineChars="32"/>
        <w:rPr>
          <w:rFonts w:hint="eastAsia" w:ascii="仿宋" w:hAnsi="仿宋" w:eastAsia="仿宋" w:cs="仿宋"/>
          <w:b/>
          <w:bCs/>
          <w:sz w:val="28"/>
          <w:szCs w:val="28"/>
        </w:rPr>
      </w:pPr>
    </w:p>
    <w:p w14:paraId="6FA6BA5E">
      <w:pPr>
        <w:spacing w:beforeLines="50" w:afterLines="50" w:line="276" w:lineRule="auto"/>
        <w:ind w:firstLine="90" w:firstLineChars="32"/>
        <w:rPr>
          <w:rFonts w:hint="eastAsia" w:ascii="仿宋" w:hAnsi="仿宋" w:eastAsia="仿宋" w:cs="仿宋"/>
          <w:b/>
          <w:bCs/>
          <w:sz w:val="28"/>
          <w:szCs w:val="28"/>
        </w:rPr>
      </w:pPr>
    </w:p>
    <w:p w14:paraId="423E1458">
      <w:pPr>
        <w:spacing w:beforeLines="50" w:afterLines="50" w:line="276" w:lineRule="auto"/>
        <w:ind w:firstLine="90" w:firstLineChars="32"/>
        <w:rPr>
          <w:rFonts w:hint="eastAsia" w:ascii="仿宋" w:hAnsi="仿宋" w:eastAsia="仿宋" w:cs="仿宋"/>
          <w:b/>
          <w:bCs/>
          <w:sz w:val="28"/>
          <w:szCs w:val="28"/>
        </w:rPr>
      </w:pPr>
    </w:p>
    <w:p w14:paraId="0A688109">
      <w:pPr>
        <w:spacing w:beforeLines="50" w:afterLines="50" w:line="276" w:lineRule="auto"/>
        <w:rPr>
          <w:rFonts w:ascii="仿宋" w:hAnsi="仿宋" w:eastAsia="仿宋" w:cs="仿宋"/>
          <w:b/>
          <w:bCs/>
          <w:sz w:val="28"/>
          <w:szCs w:val="28"/>
          <w:lang w:val="en-US"/>
        </w:rPr>
      </w:pPr>
      <w:r>
        <w:rPr>
          <w:rFonts w:hint="eastAsia" w:ascii="仿宋" w:hAnsi="仿宋" w:eastAsia="仿宋" w:cs="仿宋"/>
          <w:b/>
          <w:bCs/>
          <w:sz w:val="28"/>
          <w:szCs w:val="28"/>
        </w:rPr>
        <w:t>附件</w:t>
      </w:r>
      <w:r>
        <w:rPr>
          <w:rFonts w:ascii="仿宋" w:hAnsi="仿宋" w:eastAsia="仿宋" w:cs="仿宋"/>
          <w:b/>
          <w:bCs/>
          <w:sz w:val="28"/>
          <w:szCs w:val="28"/>
          <w:lang w:val="en-US"/>
        </w:rPr>
        <w:t>1：</w:t>
      </w:r>
    </w:p>
    <w:p w14:paraId="5FFB0A97">
      <w:pPr>
        <w:spacing w:beforeLines="50" w:afterLines="50" w:line="276" w:lineRule="auto"/>
        <w:ind w:firstLine="141" w:firstLineChars="32"/>
        <w:jc w:val="center"/>
        <w:rPr>
          <w:rFonts w:ascii="仿宋" w:hAnsi="仿宋" w:eastAsia="仿宋" w:cs="仿宋"/>
          <w:b/>
          <w:bCs/>
          <w:sz w:val="44"/>
        </w:rPr>
      </w:pPr>
      <w:r>
        <w:rPr>
          <w:rFonts w:hint="eastAsia" w:ascii="仿宋" w:hAnsi="仿宋" w:eastAsia="仿宋" w:cs="仿宋"/>
          <w:b/>
          <w:bCs/>
          <w:sz w:val="44"/>
        </w:rPr>
        <w:t>风险告知书</w:t>
      </w:r>
    </w:p>
    <w:p w14:paraId="047DF10F">
      <w:pPr>
        <w:spacing w:line="480" w:lineRule="exact"/>
        <w:jc w:val="both"/>
        <w:rPr>
          <w:rFonts w:ascii="仿宋" w:hAnsi="仿宋" w:eastAsia="仿宋" w:cs="仿宋"/>
          <w:b/>
          <w:sz w:val="24"/>
          <w:szCs w:val="24"/>
        </w:rPr>
      </w:pPr>
      <w:r>
        <w:rPr>
          <w:rFonts w:hint="eastAsia" w:ascii="仿宋" w:hAnsi="仿宋" w:eastAsia="仿宋" w:cs="仿宋"/>
          <w:b/>
          <w:sz w:val="24"/>
          <w:szCs w:val="24"/>
        </w:rPr>
        <w:t>尊敬的委托人：</w:t>
      </w:r>
    </w:p>
    <w:p w14:paraId="0AC686A9">
      <w:pPr>
        <w:pStyle w:val="9"/>
        <w:spacing w:line="300" w:lineRule="auto"/>
        <w:ind w:firstLine="480" w:firstLineChars="200"/>
        <w:rPr>
          <w:rFonts w:ascii="仿宋" w:hAnsi="仿宋" w:eastAsia="仿宋" w:cs="仿宋"/>
        </w:rPr>
      </w:pPr>
      <w:r>
        <w:rPr>
          <w:rFonts w:hint="eastAsia" w:ascii="仿宋" w:hAnsi="仿宋" w:eastAsia="仿宋" w:cs="仿宋"/>
        </w:rPr>
        <w:t>感谢您委托本所承办您的法律事务，我们将竭诚为您提供法律服务。为了更好地维护您的合法权益，也为了使您更加了解律师工作，特提请您注意如下事项：</w:t>
      </w:r>
    </w:p>
    <w:p w14:paraId="0E6E47B2">
      <w:pPr>
        <w:pStyle w:val="9"/>
        <w:spacing w:line="300" w:lineRule="auto"/>
        <w:ind w:firstLine="480" w:firstLineChars="200"/>
        <w:rPr>
          <w:rFonts w:ascii="仿宋" w:hAnsi="仿宋" w:eastAsia="仿宋" w:cs="仿宋"/>
        </w:rPr>
      </w:pPr>
      <w:r>
        <w:rPr>
          <w:rFonts w:hint="eastAsia" w:ascii="仿宋" w:hAnsi="仿宋" w:eastAsia="仿宋" w:cs="仿宋"/>
        </w:rPr>
        <w:t>一、任何案件均具有法律风险，包括败诉或主张不被采纳、无法执行、审期过长等。在签订合同前律师会向您提示法律风险，您应确认具有承受此等法律风险之合理预见及负担能力。</w:t>
      </w:r>
    </w:p>
    <w:p w14:paraId="107986C2">
      <w:pPr>
        <w:pStyle w:val="9"/>
        <w:spacing w:line="300" w:lineRule="auto"/>
        <w:ind w:firstLine="480" w:firstLineChars="200"/>
        <w:rPr>
          <w:rFonts w:ascii="仿宋" w:hAnsi="仿宋" w:eastAsia="仿宋" w:cs="仿宋"/>
        </w:rPr>
      </w:pPr>
      <w:r>
        <w:rPr>
          <w:rFonts w:hint="eastAsia" w:ascii="仿宋" w:hAnsi="仿宋" w:eastAsia="仿宋" w:cs="仿宋"/>
        </w:rPr>
        <w:t>二、由于客观原因（如涉及案件的新证据资料的出现等），或由于贵方主张的证据/理由不足，亦可能导致贵方败诉或主张不被人民法院采纳；</w:t>
      </w:r>
    </w:p>
    <w:p w14:paraId="35F65FAD">
      <w:pPr>
        <w:pStyle w:val="9"/>
        <w:spacing w:line="300" w:lineRule="auto"/>
        <w:ind w:firstLine="480" w:firstLineChars="200"/>
        <w:rPr>
          <w:rFonts w:ascii="仿宋" w:hAnsi="仿宋" w:eastAsia="仿宋" w:cs="仿宋"/>
          <w:b/>
        </w:rPr>
      </w:pPr>
      <w:r>
        <w:rPr>
          <w:rFonts w:hint="eastAsia" w:ascii="仿宋" w:hAnsi="仿宋" w:eastAsia="仿宋" w:cs="仿宋"/>
        </w:rPr>
        <w:t>三、律师办案进程受到审判、仲裁等部门及有关当事方的制约，</w:t>
      </w:r>
      <w:r>
        <w:rPr>
          <w:rFonts w:hint="eastAsia" w:ascii="仿宋" w:hAnsi="仿宋" w:eastAsia="仿宋" w:cs="仿宋"/>
          <w:b/>
        </w:rPr>
        <w:t>任何诉讼均具有法律风险，包括败诉、无法执行、审期过长等。在聘请律师前，您应确认具有此等法律风险之合理预见能力及负担能力；</w:t>
      </w:r>
    </w:p>
    <w:p w14:paraId="0B1075EE">
      <w:pPr>
        <w:pStyle w:val="9"/>
        <w:spacing w:line="300" w:lineRule="auto"/>
        <w:ind w:firstLine="480" w:firstLineChars="200"/>
        <w:rPr>
          <w:rFonts w:ascii="仿宋" w:hAnsi="仿宋" w:eastAsia="仿宋" w:cs="仿宋"/>
        </w:rPr>
      </w:pPr>
      <w:r>
        <w:rPr>
          <w:rFonts w:hint="eastAsia" w:ascii="仿宋" w:hAnsi="仿宋" w:eastAsia="仿宋" w:cs="仿宋"/>
        </w:rPr>
        <w:t>四、承办案件律师不得以与经办案件的法官、仲裁员或他们的上级领导相熟为理由或为前提承接贵方案件，亦不得以保证贵方案件必然胜诉为前提承接贵方的案件；</w:t>
      </w:r>
    </w:p>
    <w:p w14:paraId="6624D806">
      <w:pPr>
        <w:spacing w:line="276" w:lineRule="auto"/>
        <w:ind w:firstLine="480" w:firstLineChars="200"/>
        <w:jc w:val="both"/>
        <w:rPr>
          <w:rFonts w:ascii="仿宋" w:hAnsi="仿宋" w:eastAsia="仿宋" w:cs="仿宋"/>
          <w:sz w:val="24"/>
          <w:szCs w:val="24"/>
        </w:rPr>
      </w:pPr>
      <w:r>
        <w:rPr>
          <w:rFonts w:hint="eastAsia" w:ascii="仿宋" w:hAnsi="仿宋" w:eastAsia="仿宋" w:cs="仿宋"/>
          <w:sz w:val="24"/>
          <w:szCs w:val="24"/>
        </w:rPr>
        <w:t>五、贵方支付的律师代理费应支付给律师事务所并由律师事务所开具正式发票；</w:t>
      </w:r>
    </w:p>
    <w:p w14:paraId="7E32EA5C">
      <w:pPr>
        <w:spacing w:line="276" w:lineRule="auto"/>
        <w:ind w:firstLine="480" w:firstLineChars="200"/>
        <w:jc w:val="both"/>
        <w:rPr>
          <w:rFonts w:ascii="仿宋" w:hAnsi="仿宋" w:eastAsia="仿宋" w:cs="仿宋"/>
          <w:sz w:val="24"/>
          <w:szCs w:val="24"/>
        </w:rPr>
      </w:pPr>
      <w:r>
        <w:rPr>
          <w:rFonts w:hint="eastAsia" w:ascii="仿宋" w:hAnsi="仿宋" w:eastAsia="仿宋" w:cs="仿宋"/>
          <w:sz w:val="24"/>
          <w:szCs w:val="24"/>
        </w:rPr>
        <w:t>六、除合同约定的费用外，承办案件律师不得以与经办法官、仲裁员或他们的上级领导沟通为由另行收取贵方费用，贵方亦不得另行给付承办案件律师费用要求律师通过非正常途径与经办法官、仲裁员或他们的上级领导沟通。</w:t>
      </w:r>
    </w:p>
    <w:p w14:paraId="4C192848">
      <w:pPr>
        <w:spacing w:line="276" w:lineRule="auto"/>
        <w:ind w:firstLine="480" w:firstLineChars="200"/>
        <w:jc w:val="both"/>
        <w:rPr>
          <w:rFonts w:ascii="仿宋" w:hAnsi="仿宋" w:eastAsia="仿宋" w:cs="仿宋"/>
          <w:sz w:val="24"/>
          <w:szCs w:val="24"/>
        </w:rPr>
      </w:pPr>
      <w:r>
        <w:rPr>
          <w:rFonts w:hint="eastAsia" w:ascii="仿宋" w:hAnsi="仿宋" w:eastAsia="仿宋" w:cs="仿宋"/>
          <w:sz w:val="24"/>
          <w:szCs w:val="24"/>
        </w:rPr>
        <w:t>请贵方在确定律师已告知上述事宜后才签署诉讼、仲裁委托合同。</w:t>
      </w:r>
    </w:p>
    <w:p w14:paraId="7E8FB4D9">
      <w:pPr>
        <w:spacing w:line="276" w:lineRule="auto"/>
        <w:ind w:firstLine="482" w:firstLineChars="200"/>
        <w:jc w:val="both"/>
        <w:rPr>
          <w:rFonts w:ascii="仿宋" w:hAnsi="仿宋" w:eastAsia="仿宋" w:cs="仿宋"/>
          <w:b/>
          <w:bCs/>
          <w:sz w:val="24"/>
          <w:szCs w:val="24"/>
        </w:rPr>
      </w:pPr>
      <w:r>
        <w:rPr>
          <w:rFonts w:hint="eastAsia" w:ascii="仿宋" w:hAnsi="仿宋" w:eastAsia="仿宋" w:cs="仿宋"/>
          <w:b/>
          <w:bCs/>
          <w:sz w:val="24"/>
          <w:szCs w:val="24"/>
        </w:rPr>
        <w:t>委托人确认：</w:t>
      </w:r>
    </w:p>
    <w:p w14:paraId="631A4D51">
      <w:pPr>
        <w:spacing w:line="276" w:lineRule="auto"/>
        <w:ind w:firstLine="480" w:firstLineChars="200"/>
        <w:jc w:val="both"/>
        <w:rPr>
          <w:rFonts w:ascii="仿宋" w:hAnsi="仿宋" w:eastAsia="仿宋" w:cs="仿宋"/>
          <w:sz w:val="24"/>
          <w:szCs w:val="24"/>
        </w:rPr>
      </w:pPr>
      <w:r>
        <w:rPr>
          <w:rFonts w:hint="eastAsia" w:ascii="仿宋" w:hAnsi="仿宋" w:eastAsia="仿宋" w:cs="仿宋"/>
          <w:sz w:val="24"/>
          <w:szCs w:val="24"/>
        </w:rPr>
        <w:t>律师已告知我方上述事项，我方已了解告知书中所提示的内容。</w:t>
      </w:r>
    </w:p>
    <w:p w14:paraId="1C9F3C2C">
      <w:pPr>
        <w:spacing w:line="276" w:lineRule="auto"/>
        <w:ind w:firstLine="480" w:firstLineChars="200"/>
        <w:jc w:val="both"/>
        <w:rPr>
          <w:rFonts w:hint="eastAsia" w:ascii="仿宋_GB2312" w:hAnsi="仿宋_GB2312" w:eastAsia="仿宋_GB2312" w:cs="仿宋_GB2312"/>
          <w:sz w:val="24"/>
          <w:szCs w:val="24"/>
        </w:rPr>
      </w:pPr>
    </w:p>
    <w:p w14:paraId="4D28572D">
      <w:pPr>
        <w:spacing w:line="276" w:lineRule="auto"/>
        <w:ind w:firstLine="502" w:firstLineChars="200"/>
        <w:jc w:val="both"/>
        <w:rPr>
          <w:rFonts w:hint="eastAsia" w:ascii="仿宋_GB2312" w:hAnsi="仿宋_GB2312" w:eastAsia="仿宋_GB2312" w:cs="仿宋_GB2312"/>
          <w:b/>
          <w:spacing w:val="5"/>
          <w:sz w:val="24"/>
          <w:szCs w:val="24"/>
        </w:rPr>
      </w:pPr>
    </w:p>
    <w:p w14:paraId="2A2DD977">
      <w:pPr>
        <w:spacing w:line="276" w:lineRule="auto"/>
        <w:jc w:val="both"/>
        <w:rPr>
          <w:rFonts w:hint="eastAsia" w:ascii="仿宋_GB2312" w:hAnsi="仿宋_GB2312" w:eastAsia="仿宋_GB2312" w:cs="仿宋_GB2312"/>
          <w:b/>
          <w:spacing w:val="5"/>
          <w:sz w:val="24"/>
          <w:szCs w:val="24"/>
        </w:rPr>
      </w:pPr>
    </w:p>
    <w:p w14:paraId="3DFF341A">
      <w:pPr>
        <w:spacing w:line="360" w:lineRule="auto"/>
        <w:rPr>
          <w:rFonts w:hint="eastAsia" w:ascii="仿宋_GB2312" w:hAnsi="仿宋_GB2312" w:eastAsia="仿宋_GB2312" w:cs="仿宋_GB2312"/>
          <w:b/>
          <w:spacing w:val="5"/>
          <w:sz w:val="24"/>
          <w:szCs w:val="24"/>
        </w:rPr>
      </w:pPr>
      <w:r>
        <w:rPr>
          <w:rFonts w:hint="eastAsia" w:ascii="仿宋_GB2312" w:hAnsi="仿宋_GB2312" w:eastAsia="仿宋_GB2312" w:cs="仿宋_GB2312"/>
          <w:b/>
          <w:spacing w:val="5"/>
          <w:sz w:val="24"/>
          <w:szCs w:val="24"/>
        </w:rPr>
        <w:t xml:space="preserve">                                 委托人签署：</w:t>
      </w:r>
      <w:r>
        <w:rPr>
          <w:rFonts w:hint="eastAsia" w:ascii="仿宋_GB2312" w:hAnsi="仿宋_GB2312" w:eastAsia="仿宋_GB2312" w:cs="仿宋_GB2312"/>
          <w:b/>
          <w:bCs/>
          <w:sz w:val="24"/>
          <w:szCs w:val="24"/>
          <w:u w:val="none"/>
          <w:lang w:val="en-US" w:eastAsia="zh-Hans"/>
        </w:rPr>
        <w:t>广东长正建设有限公司</w:t>
      </w:r>
      <w:r>
        <w:rPr>
          <w:rFonts w:hint="eastAsia" w:ascii="仿宋_GB2312" w:hAnsi="仿宋_GB2312" w:eastAsia="仿宋_GB2312" w:cs="仿宋_GB2312"/>
          <w:b/>
          <w:bCs/>
          <w:sz w:val="24"/>
          <w:szCs w:val="24"/>
          <w:u w:val="none"/>
        </w:rPr>
        <w:t xml:space="preserve">  </w:t>
      </w:r>
    </w:p>
    <w:p w14:paraId="626495C4">
      <w:pPr>
        <w:spacing w:line="276" w:lineRule="auto"/>
        <w:ind w:firstLine="502" w:firstLineChars="200"/>
        <w:jc w:val="both"/>
        <w:rPr>
          <w:rFonts w:hint="eastAsia" w:ascii="仿宋" w:hAnsi="仿宋" w:eastAsia="仿宋" w:cs="仿宋"/>
          <w:color w:val="000000"/>
          <w:kern w:val="2"/>
          <w:sz w:val="28"/>
          <w:szCs w:val="28"/>
          <w:highlight w:val="none"/>
        </w:rPr>
      </w:pPr>
      <w:r>
        <w:rPr>
          <w:rFonts w:hint="eastAsia" w:ascii="仿宋_GB2312" w:hAnsi="仿宋_GB2312" w:eastAsia="仿宋_GB2312" w:cs="仿宋_GB2312"/>
          <w:b/>
          <w:spacing w:val="5"/>
          <w:sz w:val="24"/>
          <w:szCs w:val="24"/>
        </w:rPr>
        <w:t xml:space="preserve">                                   日期：</w:t>
      </w:r>
      <w:r>
        <w:rPr>
          <w:rFonts w:hint="eastAsia" w:ascii="仿宋_GB2312" w:hAnsi="仿宋_GB2312" w:eastAsia="仿宋_GB2312" w:cs="仿宋_GB2312"/>
          <w:sz w:val="24"/>
          <w:szCs w:val="24"/>
          <w:lang w:val="en-US" w:eastAsia="zh-CN"/>
        </w:rPr>
        <w:t>2025年   月   日</w:t>
      </w:r>
    </w:p>
    <w:p w14:paraId="62D39323">
      <w:pPr>
        <w:jc w:val="both"/>
        <w:rPr>
          <w:rFonts w:ascii="仿宋" w:hAnsi="仿宋" w:eastAsia="仿宋"/>
          <w:color w:val="000000"/>
          <w:sz w:val="28"/>
          <w:szCs w:val="28"/>
          <w:highlight w:val="none"/>
          <w:lang w:val="en-US" w:eastAsia="zh-CN"/>
        </w:rPr>
      </w:pPr>
    </w:p>
    <w:sectPr>
      <w:footerReference r:id="rId3" w:type="default"/>
      <w:pgSz w:w="11906" w:h="16838"/>
      <w:pgMar w:top="1440" w:right="1800" w:bottom="1440" w:left="180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AD7A95C-810C-41D9-83B1-C308EDC3C7DD}"/>
  </w:font>
  <w:font w:name="Arial">
    <w:panose1 w:val="020B0604020202020204"/>
    <w:charset w:val="01"/>
    <w:family w:val="swiss"/>
    <w:pitch w:val="default"/>
    <w:sig w:usb0="E0002EFF" w:usb1="C000785B" w:usb2="00000009" w:usb3="00000000" w:csb0="400001FF" w:csb1="FFFF0000"/>
    <w:embedRegular r:id="rId2" w:fontKey="{C6B504D8-F3C9-4D99-9281-E51C49412EE1}"/>
  </w:font>
  <w:font w:name="黑体">
    <w:panose1 w:val="02010609060101010101"/>
    <w:charset w:val="86"/>
    <w:family w:val="auto"/>
    <w:pitch w:val="default"/>
    <w:sig w:usb0="800002BF" w:usb1="38CF7CFA" w:usb2="00000016" w:usb3="00000000" w:csb0="00040001" w:csb1="00000000"/>
    <w:embedRegular r:id="rId3" w:fontKey="{7F770C93-C658-4CEC-8790-B3D193385ACC}"/>
  </w:font>
  <w:font w:name="Courier New">
    <w:panose1 w:val="02070309020205020404"/>
    <w:charset w:val="01"/>
    <w:family w:val="modern"/>
    <w:pitch w:val="default"/>
    <w:sig w:usb0="E0002EFF" w:usb1="C0007843" w:usb2="00000009" w:usb3="00000000" w:csb0="400001FF" w:csb1="FFFF0000"/>
    <w:embedRegular r:id="rId4" w:fontKey="{2379AB7B-D6C5-40AA-A8E2-C0AB1A9A55DB}"/>
  </w:font>
  <w:font w:name="Symbol">
    <w:panose1 w:val="05050102010706020507"/>
    <w:charset w:val="02"/>
    <w:family w:val="roman"/>
    <w:pitch w:val="default"/>
    <w:sig w:usb0="00000000" w:usb1="00000000" w:usb2="00000000" w:usb3="00000000" w:csb0="80000000" w:csb1="00000000"/>
    <w:embedRegular r:id="rId5" w:fontKey="{C24BCB99-889E-4C7D-97ED-1AD53826049E}"/>
  </w:font>
  <w:font w:name="Calibri">
    <w:panose1 w:val="020F0502020204030204"/>
    <w:charset w:val="00"/>
    <w:family w:val="swiss"/>
    <w:pitch w:val="default"/>
    <w:sig w:usb0="E4002EFF" w:usb1="C000247B" w:usb2="00000009" w:usb3="00000000" w:csb0="200001FF" w:csb1="00000000"/>
    <w:embedRegular r:id="rId6" w:fontKey="{2FBA2DAC-6D3B-4094-A4C6-B067907EE315}"/>
  </w:font>
  <w:font w:name="微软雅黑">
    <w:panose1 w:val="020B0503020204020204"/>
    <w:charset w:val="86"/>
    <w:family w:val="auto"/>
    <w:pitch w:val="default"/>
    <w:sig w:usb0="80000287" w:usb1="2ACF3C50" w:usb2="00000016" w:usb3="00000000" w:csb0="0004001F" w:csb1="00000000"/>
    <w:embedRegular r:id="rId7" w:fontKey="{F9F758B1-03A3-4974-8567-1C5A912B878B}"/>
  </w:font>
  <w:font w:name="仿宋_GB2312">
    <w:panose1 w:val="02010609030101010101"/>
    <w:charset w:val="86"/>
    <w:family w:val="modern"/>
    <w:pitch w:val="default"/>
    <w:sig w:usb0="00000001" w:usb1="080E0000" w:usb2="00000000" w:usb3="00000000" w:csb0="00040000" w:csb1="00000000"/>
    <w:embedRegular r:id="rId8" w:fontKey="{CBA57054-0F97-4E5C-A6FE-540AE56380FD}"/>
  </w:font>
  <w:font w:name="仿宋">
    <w:panose1 w:val="02010609060101010101"/>
    <w:charset w:val="86"/>
    <w:family w:val="modern"/>
    <w:pitch w:val="default"/>
    <w:sig w:usb0="800002BF" w:usb1="38CF7CFA" w:usb2="00000016" w:usb3="00000000" w:csb0="00040001" w:csb1="00000000"/>
    <w:embedRegular r:id="rId9" w:fontKey="{97EA9E13-C4BC-4CA6-9198-0EB0F3681CDF}"/>
  </w:font>
  <w:font w:name="方正兰亭细黑_GBK">
    <w:altName w:val="黑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9E243">
    <w:pPr>
      <w:pStyle w:val="6"/>
      <w:jc w:val="center"/>
      <w:rPr>
        <w:lang w:val="en-US" w:eastAsia="zh-CN"/>
      </w:rPr>
    </w:pPr>
    <w:r>
      <w:rPr>
        <w:lang w:val="en-US" w:eastAsia="zh-CN"/>
      </w:rPr>
      <w:fldChar w:fldCharType="begin"/>
    </w:r>
    <w:r>
      <w:rPr>
        <w:lang w:val="en-US" w:eastAsia="zh-CN"/>
      </w:rPr>
      <w:instrText xml:space="preserve">PAGE   \* MERGEFORMAT</w:instrText>
    </w:r>
    <w:r>
      <w:rPr>
        <w:lang w:val="en-US" w:eastAsia="zh-CN"/>
      </w:rPr>
      <w:fldChar w:fldCharType="separate"/>
    </w:r>
    <w:r>
      <w:rPr>
        <w:lang w:val="zh-CN"/>
      </w:rPr>
      <w:t>4</w:t>
    </w:r>
    <w:r>
      <w:rPr>
        <w:lang w:val="en-US" w:eastAsia="zh-CN"/>
      </w:rPr>
      <w:fldChar w:fldCharType="end"/>
    </w:r>
  </w:p>
  <w:p w14:paraId="798EFF2E">
    <w:pPr>
      <w:pStyle w:val="6"/>
      <w:jc w:val="left"/>
      <w:rPr>
        <w:lang w:val="en-US" w:eastAsia="zh-C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0651D4"/>
    <w:multiLevelType w:val="singleLevel"/>
    <w:tmpl w:val="B70651D4"/>
    <w:lvl w:ilvl="0" w:tentative="0">
      <w:start w:val="3"/>
      <w:numFmt w:val="chineseCounting"/>
      <w:suff w:val="space"/>
      <w:lvlText w:val="第%1条"/>
      <w:lvlJc w:val="left"/>
      <w:rPr>
        <w:rFonts w:hint="eastAsia"/>
      </w:rPr>
    </w:lvl>
  </w:abstractNum>
  <w:abstractNum w:abstractNumId="1">
    <w:nsid w:val="00000001"/>
    <w:multiLevelType w:val="multilevel"/>
    <w:tmpl w:val="00000001"/>
    <w:lvl w:ilvl="0" w:tentative="0">
      <w:start w:val="1"/>
      <w:numFmt w:val="chineseCountingThousand"/>
      <w:pStyle w:val="16"/>
      <w:lvlText w:val="第%1条"/>
      <w:lvlJc w:val="left"/>
      <w:pPr>
        <w:tabs>
          <w:tab w:val="left" w:pos="2565"/>
        </w:tabs>
        <w:ind w:left="2565" w:hanging="1125"/>
      </w:pPr>
      <w:rPr>
        <w:rFonts w:hint="eastAsia" w:ascii="仿宋_GB2312" w:eastAsia="仿宋_GB2312"/>
        <w:b/>
        <w:sz w:val="28"/>
        <w:szCs w:val="28"/>
      </w:rPr>
    </w:lvl>
    <w:lvl w:ilvl="1" w:tentative="0">
      <w:start w:val="1"/>
      <w:numFmt w:val="lowerLetter"/>
      <w:lvlText w:val="%2)"/>
      <w:lvlJc w:val="left"/>
      <w:pPr>
        <w:tabs>
          <w:tab w:val="left" w:pos="902"/>
        </w:tabs>
        <w:ind w:left="902" w:hanging="420"/>
      </w:pPr>
    </w:lvl>
    <w:lvl w:ilvl="2" w:tentative="0">
      <w:start w:val="1"/>
      <w:numFmt w:val="lowerRoman"/>
      <w:lvlText w:val="%3."/>
      <w:lvlJc w:val="right"/>
      <w:pPr>
        <w:tabs>
          <w:tab w:val="left" w:pos="1322"/>
        </w:tabs>
        <w:ind w:left="1322" w:hanging="420"/>
      </w:pPr>
    </w:lvl>
    <w:lvl w:ilvl="3" w:tentative="0">
      <w:start w:val="1"/>
      <w:numFmt w:val="decimal"/>
      <w:lvlText w:val="%4."/>
      <w:lvlJc w:val="left"/>
      <w:pPr>
        <w:tabs>
          <w:tab w:val="left" w:pos="1742"/>
        </w:tabs>
        <w:ind w:left="1742" w:hanging="420"/>
      </w:pPr>
    </w:lvl>
    <w:lvl w:ilvl="4" w:tentative="0">
      <w:start w:val="1"/>
      <w:numFmt w:val="lowerLetter"/>
      <w:lvlText w:val="%5)"/>
      <w:lvlJc w:val="left"/>
      <w:pPr>
        <w:tabs>
          <w:tab w:val="left" w:pos="2162"/>
        </w:tabs>
        <w:ind w:left="2162" w:hanging="420"/>
      </w:pPr>
    </w:lvl>
    <w:lvl w:ilvl="5" w:tentative="0">
      <w:start w:val="1"/>
      <w:numFmt w:val="lowerRoman"/>
      <w:lvlText w:val="%6."/>
      <w:lvlJc w:val="right"/>
      <w:pPr>
        <w:tabs>
          <w:tab w:val="left" w:pos="2582"/>
        </w:tabs>
        <w:ind w:left="2582" w:hanging="420"/>
      </w:pPr>
    </w:lvl>
    <w:lvl w:ilvl="6" w:tentative="0">
      <w:start w:val="1"/>
      <w:numFmt w:val="decimal"/>
      <w:lvlText w:val="%7."/>
      <w:lvlJc w:val="left"/>
      <w:pPr>
        <w:tabs>
          <w:tab w:val="left" w:pos="3002"/>
        </w:tabs>
        <w:ind w:left="3002" w:hanging="420"/>
      </w:pPr>
    </w:lvl>
    <w:lvl w:ilvl="7" w:tentative="0">
      <w:start w:val="1"/>
      <w:numFmt w:val="lowerLetter"/>
      <w:lvlText w:val="%8)"/>
      <w:lvlJc w:val="left"/>
      <w:pPr>
        <w:tabs>
          <w:tab w:val="left" w:pos="3422"/>
        </w:tabs>
        <w:ind w:left="3422" w:hanging="420"/>
      </w:pPr>
    </w:lvl>
    <w:lvl w:ilvl="8" w:tentative="0">
      <w:start w:val="1"/>
      <w:numFmt w:val="lowerRoman"/>
      <w:lvlText w:val="%9."/>
      <w:lvlJc w:val="right"/>
      <w:pPr>
        <w:tabs>
          <w:tab w:val="left" w:pos="3842"/>
        </w:tabs>
        <w:ind w:left="384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wNTFhNzZmYTIzNjc3OWQwNTk3ZmQ1NGZkODI5MTIifQ=="/>
  </w:docVars>
  <w:rsids>
    <w:rsidRoot w:val="00F01E58"/>
    <w:rsid w:val="00011811"/>
    <w:rsid w:val="00024797"/>
    <w:rsid w:val="00074B14"/>
    <w:rsid w:val="00075007"/>
    <w:rsid w:val="000C7F05"/>
    <w:rsid w:val="000D0723"/>
    <w:rsid w:val="00130436"/>
    <w:rsid w:val="0019796B"/>
    <w:rsid w:val="001B341E"/>
    <w:rsid w:val="00265B31"/>
    <w:rsid w:val="002755F1"/>
    <w:rsid w:val="002A587E"/>
    <w:rsid w:val="002A75C4"/>
    <w:rsid w:val="002E1FFA"/>
    <w:rsid w:val="002F082A"/>
    <w:rsid w:val="0031151B"/>
    <w:rsid w:val="003346DD"/>
    <w:rsid w:val="003C4C69"/>
    <w:rsid w:val="003D3E7A"/>
    <w:rsid w:val="003E61AC"/>
    <w:rsid w:val="0040059A"/>
    <w:rsid w:val="0043764B"/>
    <w:rsid w:val="00444A81"/>
    <w:rsid w:val="00483E50"/>
    <w:rsid w:val="0049287B"/>
    <w:rsid w:val="004D5F4D"/>
    <w:rsid w:val="005033B9"/>
    <w:rsid w:val="005C4764"/>
    <w:rsid w:val="00614F4E"/>
    <w:rsid w:val="00627F96"/>
    <w:rsid w:val="0063476D"/>
    <w:rsid w:val="006347BC"/>
    <w:rsid w:val="00660258"/>
    <w:rsid w:val="006E5EB2"/>
    <w:rsid w:val="0072042F"/>
    <w:rsid w:val="00724BB1"/>
    <w:rsid w:val="00725B5E"/>
    <w:rsid w:val="00741F80"/>
    <w:rsid w:val="00780E0F"/>
    <w:rsid w:val="007D7EA3"/>
    <w:rsid w:val="007E4793"/>
    <w:rsid w:val="007F5EE2"/>
    <w:rsid w:val="007F61CE"/>
    <w:rsid w:val="00892507"/>
    <w:rsid w:val="008A35E4"/>
    <w:rsid w:val="008C7ADC"/>
    <w:rsid w:val="008E5F0D"/>
    <w:rsid w:val="008F3A4F"/>
    <w:rsid w:val="008F4BD8"/>
    <w:rsid w:val="0090209D"/>
    <w:rsid w:val="009066F3"/>
    <w:rsid w:val="00913BFE"/>
    <w:rsid w:val="00956E28"/>
    <w:rsid w:val="009861D9"/>
    <w:rsid w:val="00A37EAF"/>
    <w:rsid w:val="00A619A3"/>
    <w:rsid w:val="00A8296D"/>
    <w:rsid w:val="00B03105"/>
    <w:rsid w:val="00B40E64"/>
    <w:rsid w:val="00BB032E"/>
    <w:rsid w:val="00BD207F"/>
    <w:rsid w:val="00BE7E31"/>
    <w:rsid w:val="00BF63E1"/>
    <w:rsid w:val="00C830CC"/>
    <w:rsid w:val="00C84291"/>
    <w:rsid w:val="00CB51A9"/>
    <w:rsid w:val="00D24751"/>
    <w:rsid w:val="00D423D0"/>
    <w:rsid w:val="00D700AA"/>
    <w:rsid w:val="00DB21A5"/>
    <w:rsid w:val="00DE14F2"/>
    <w:rsid w:val="00E067E1"/>
    <w:rsid w:val="00E4372F"/>
    <w:rsid w:val="00E63C17"/>
    <w:rsid w:val="00EF571F"/>
    <w:rsid w:val="00F01E58"/>
    <w:rsid w:val="00F03C91"/>
    <w:rsid w:val="00F10869"/>
    <w:rsid w:val="00F1708D"/>
    <w:rsid w:val="00F42507"/>
    <w:rsid w:val="00F84C4D"/>
    <w:rsid w:val="00F93617"/>
    <w:rsid w:val="00FC2EB3"/>
    <w:rsid w:val="00FD1B12"/>
    <w:rsid w:val="00FF6E5D"/>
    <w:rsid w:val="01420DF3"/>
    <w:rsid w:val="01633E9B"/>
    <w:rsid w:val="02BF77F6"/>
    <w:rsid w:val="02E42B08"/>
    <w:rsid w:val="031D2A73"/>
    <w:rsid w:val="037017BE"/>
    <w:rsid w:val="05A260DA"/>
    <w:rsid w:val="095A736C"/>
    <w:rsid w:val="09BB3687"/>
    <w:rsid w:val="0AA00894"/>
    <w:rsid w:val="0B117E17"/>
    <w:rsid w:val="0C4C20FB"/>
    <w:rsid w:val="0E0D0840"/>
    <w:rsid w:val="0F817E5D"/>
    <w:rsid w:val="113F0EB5"/>
    <w:rsid w:val="134D0879"/>
    <w:rsid w:val="13C00044"/>
    <w:rsid w:val="185D33E9"/>
    <w:rsid w:val="18C80D5B"/>
    <w:rsid w:val="19D00473"/>
    <w:rsid w:val="1A7B12E8"/>
    <w:rsid w:val="1AA475A6"/>
    <w:rsid w:val="1AF965D6"/>
    <w:rsid w:val="1B29026B"/>
    <w:rsid w:val="1B620A06"/>
    <w:rsid w:val="1B6D0154"/>
    <w:rsid w:val="1B743B77"/>
    <w:rsid w:val="1DE81558"/>
    <w:rsid w:val="20FE22B3"/>
    <w:rsid w:val="21313216"/>
    <w:rsid w:val="21F3567F"/>
    <w:rsid w:val="22B440FE"/>
    <w:rsid w:val="23CE11F0"/>
    <w:rsid w:val="2458408D"/>
    <w:rsid w:val="26282E39"/>
    <w:rsid w:val="273D2914"/>
    <w:rsid w:val="27985D9D"/>
    <w:rsid w:val="28397580"/>
    <w:rsid w:val="296B4E82"/>
    <w:rsid w:val="29CC6CA4"/>
    <w:rsid w:val="2AD36309"/>
    <w:rsid w:val="2BF53DCF"/>
    <w:rsid w:val="2BFE55DC"/>
    <w:rsid w:val="2C7F5A34"/>
    <w:rsid w:val="2CED26E7"/>
    <w:rsid w:val="2D1E51E9"/>
    <w:rsid w:val="2F9E57F5"/>
    <w:rsid w:val="32C453AB"/>
    <w:rsid w:val="348F0527"/>
    <w:rsid w:val="35091C2D"/>
    <w:rsid w:val="359A3628"/>
    <w:rsid w:val="37B25C6C"/>
    <w:rsid w:val="37C776DB"/>
    <w:rsid w:val="37D06C92"/>
    <w:rsid w:val="383C74E5"/>
    <w:rsid w:val="398643CD"/>
    <w:rsid w:val="39FB487E"/>
    <w:rsid w:val="3A183E5C"/>
    <w:rsid w:val="3A5830C4"/>
    <w:rsid w:val="3B5E4DD7"/>
    <w:rsid w:val="3D6562C9"/>
    <w:rsid w:val="3DA75805"/>
    <w:rsid w:val="3F3441A5"/>
    <w:rsid w:val="40E63BC5"/>
    <w:rsid w:val="42701998"/>
    <w:rsid w:val="43BB36FB"/>
    <w:rsid w:val="468477C0"/>
    <w:rsid w:val="46850DEF"/>
    <w:rsid w:val="489B3285"/>
    <w:rsid w:val="4C27294A"/>
    <w:rsid w:val="50A56D44"/>
    <w:rsid w:val="50C95978"/>
    <w:rsid w:val="52CA2A1F"/>
    <w:rsid w:val="548B08B3"/>
    <w:rsid w:val="549C03CB"/>
    <w:rsid w:val="54C63E66"/>
    <w:rsid w:val="5595497F"/>
    <w:rsid w:val="569B6150"/>
    <w:rsid w:val="58964CC8"/>
    <w:rsid w:val="58D3250C"/>
    <w:rsid w:val="58DD0763"/>
    <w:rsid w:val="5BA5225B"/>
    <w:rsid w:val="5BD74F54"/>
    <w:rsid w:val="5CD33EB5"/>
    <w:rsid w:val="5D376EA1"/>
    <w:rsid w:val="5D415FB3"/>
    <w:rsid w:val="5DCF6E57"/>
    <w:rsid w:val="5E671A49"/>
    <w:rsid w:val="5E904071"/>
    <w:rsid w:val="5EAA509B"/>
    <w:rsid w:val="5EB270B9"/>
    <w:rsid w:val="5F3937DD"/>
    <w:rsid w:val="5F652A94"/>
    <w:rsid w:val="6014572D"/>
    <w:rsid w:val="613D2F4A"/>
    <w:rsid w:val="61973038"/>
    <w:rsid w:val="62593102"/>
    <w:rsid w:val="62634C1E"/>
    <w:rsid w:val="63230BB6"/>
    <w:rsid w:val="645760BC"/>
    <w:rsid w:val="66E7424A"/>
    <w:rsid w:val="676E5BF7"/>
    <w:rsid w:val="679A3E77"/>
    <w:rsid w:val="69A6268C"/>
    <w:rsid w:val="6C77379F"/>
    <w:rsid w:val="6D5D2513"/>
    <w:rsid w:val="6EEF5317"/>
    <w:rsid w:val="71DC132A"/>
    <w:rsid w:val="720873D5"/>
    <w:rsid w:val="73504D4A"/>
    <w:rsid w:val="73AC6AB6"/>
    <w:rsid w:val="76BF646F"/>
    <w:rsid w:val="77153250"/>
    <w:rsid w:val="79492020"/>
    <w:rsid w:val="799664CB"/>
    <w:rsid w:val="7BB1107D"/>
    <w:rsid w:val="7E6418EB"/>
    <w:rsid w:val="7EEE6905"/>
    <w:rsid w:val="7F9E4AE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rPr>
      <w:lang w:val="en-US" w:eastAsia="zh-CN"/>
    </w:rPr>
  </w:style>
  <w:style w:type="paragraph" w:styleId="3">
    <w:name w:val="Body Text"/>
    <w:basedOn w:val="1"/>
    <w:qFormat/>
    <w:uiPriority w:val="0"/>
    <w:pPr>
      <w:spacing w:after="120"/>
      <w:jc w:val="both"/>
    </w:pPr>
    <w:rPr>
      <w:lang w:val="en-US" w:eastAsia="zh-CN"/>
    </w:rPr>
  </w:style>
  <w:style w:type="paragraph" w:styleId="4">
    <w:name w:val="Body Text Indent"/>
    <w:basedOn w:val="1"/>
    <w:qFormat/>
    <w:uiPriority w:val="0"/>
    <w:pPr>
      <w:spacing w:after="120"/>
      <w:ind w:left="420" w:leftChars="200"/>
    </w:pPr>
  </w:style>
  <w:style w:type="paragraph" w:styleId="5">
    <w:name w:val="Plain Text"/>
    <w:basedOn w:val="1"/>
    <w:qFormat/>
    <w:uiPriority w:val="0"/>
    <w:pPr>
      <w:jc w:val="both"/>
    </w:pPr>
    <w:rPr>
      <w:rFonts w:ascii="Courier New" w:hAnsi="Courier New"/>
      <w:lang w:val="en-US" w:eastAsia="zh-CN"/>
    </w:rPr>
  </w:style>
  <w:style w:type="paragraph" w:styleId="6">
    <w:name w:val="footer"/>
    <w:basedOn w:val="1"/>
    <w:link w:val="13"/>
    <w:qFormat/>
    <w:uiPriority w:val="99"/>
    <w:pPr>
      <w:tabs>
        <w:tab w:val="center" w:pos="4153"/>
        <w:tab w:val="right" w:pos="8306"/>
      </w:tabs>
      <w:snapToGrid w:val="0"/>
      <w:jc w:val="left"/>
    </w:pPr>
    <w:rPr>
      <w:sz w:val="18"/>
      <w:szCs w:val="18"/>
      <w:lang w:val="en-US" w:eastAsia="zh-CN"/>
    </w:rPr>
  </w:style>
  <w:style w:type="paragraph" w:styleId="7">
    <w:name w:val="header"/>
    <w:basedOn w:val="1"/>
    <w:link w:val="14"/>
    <w:qFormat/>
    <w:uiPriority w:val="0"/>
    <w:pPr>
      <w:pBdr>
        <w:bottom w:val="single" w:color="auto" w:sz="6" w:space="1"/>
      </w:pBdr>
      <w:tabs>
        <w:tab w:val="center" w:pos="4153"/>
        <w:tab w:val="right" w:pos="8306"/>
      </w:tabs>
      <w:snapToGrid w:val="0"/>
      <w:jc w:val="center"/>
    </w:pPr>
    <w:rPr>
      <w:sz w:val="18"/>
      <w:szCs w:val="18"/>
      <w:lang w:val="en-US" w:eastAsia="zh-CN"/>
    </w:rPr>
  </w:style>
  <w:style w:type="paragraph" w:styleId="8">
    <w:name w:val="toc 1"/>
    <w:basedOn w:val="1"/>
    <w:next w:val="1"/>
    <w:qFormat/>
    <w:uiPriority w:val="39"/>
    <w:pPr>
      <w:jc w:val="both"/>
    </w:pPr>
    <w:rPr>
      <w:lang w:val="en-US" w:eastAsia="zh-CN"/>
    </w:rPr>
  </w:style>
  <w:style w:type="paragraph" w:styleId="9">
    <w:name w:val="Normal (Web)"/>
    <w:basedOn w:val="1"/>
    <w:qFormat/>
    <w:uiPriority w:val="0"/>
    <w:pPr>
      <w:widowControl/>
      <w:autoSpaceDE/>
      <w:autoSpaceDN/>
    </w:pPr>
    <w:rPr>
      <w:rFonts w:ascii="宋体" w:hAnsi="宋体" w:eastAsia="宋体" w:cs="宋体"/>
      <w:sz w:val="24"/>
      <w:szCs w:val="24"/>
      <w:lang w:val="en-US" w:bidi="ar-SA"/>
    </w:rPr>
  </w:style>
  <w:style w:type="character" w:styleId="12">
    <w:name w:val="Hyperlink"/>
    <w:qFormat/>
    <w:uiPriority w:val="0"/>
    <w:rPr>
      <w:color w:val="0000FF"/>
      <w:u w:val="single"/>
    </w:rPr>
  </w:style>
  <w:style w:type="character" w:customStyle="1" w:styleId="13">
    <w:name w:val="页脚 Char"/>
    <w:link w:val="6"/>
    <w:qFormat/>
    <w:uiPriority w:val="99"/>
    <w:rPr>
      <w:kern w:val="2"/>
      <w:sz w:val="18"/>
      <w:szCs w:val="18"/>
    </w:rPr>
  </w:style>
  <w:style w:type="character" w:customStyle="1" w:styleId="14">
    <w:name w:val="页眉 Char"/>
    <w:link w:val="7"/>
    <w:qFormat/>
    <w:uiPriority w:val="0"/>
    <w:rPr>
      <w:kern w:val="2"/>
      <w:sz w:val="18"/>
      <w:szCs w:val="18"/>
    </w:rPr>
  </w:style>
  <w:style w:type="paragraph" w:customStyle="1" w:styleId="15">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16">
    <w:name w:val="YS3-条"/>
    <w:basedOn w:val="1"/>
    <w:qFormat/>
    <w:uiPriority w:val="0"/>
    <w:pPr>
      <w:numPr>
        <w:ilvl w:val="0"/>
        <w:numId w:val="1"/>
      </w:numPr>
      <w:jc w:val="both"/>
    </w:pPr>
    <w:rPr>
      <w:lang w:val="en-US" w:eastAsia="zh-CN"/>
    </w:rPr>
  </w:style>
  <w:style w:type="paragraph" w:customStyle="1" w:styleId="17">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3631</Words>
  <Characters>3732</Characters>
  <Lines>14</Lines>
  <Paragraphs>3</Paragraphs>
  <TotalTime>4</TotalTime>
  <ScaleCrop>false</ScaleCrop>
  <LinksUpToDate>false</LinksUpToDate>
  <CharactersWithSpaces>4080</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2017-09-05T13:30:00Z</dcterms:created>
  <dc:creator>陈博深</dc:creator>
  <cp:lastModifiedBy>范蕊娟</cp:lastModifiedBy>
  <cp:lastPrinted>2016-09-21T07:07:00Z</cp:lastPrinted>
  <dcterms:modified xsi:type="dcterms:W3CDTF">2025-08-01T11:23:42Z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6C8224C2ADCA49608F70DB634A49DA0A_13</vt:lpwstr>
  </property>
  <property fmtid="{D5CDD505-2E9C-101B-9397-08002B2CF9AE}" pid="4" name="KSOTemplateDocerSaveRecord">
    <vt:lpwstr>eyJoZGlkIjoiNjgwNTFhNzZmYTIzNjc3OWQwNTk3ZmQ1NGZkODI5MTIiLCJ1c2VySWQiOiIxNjI0NDgwOTc0In0=</vt:lpwstr>
  </property>
</Properties>
</file>